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drawing>
          <wp:inline distT="0" distB="0" distL="0" distR="0">
            <wp:extent cx="2857500" cy="838200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  <w:jc w:val="center"/>
      </w:pPr>
      <w:r>
        <w:rPr>
          <w:color w:val="6B7280"/>
          <w:sz w:val="16"/>
          <w:szCs w:val="16"/>
        </w:rPr>
        <w:t xml:space="preserve">Edição 6/2026 — 08 de setembro de 2026</w:t>
      </w:r>
    </w:p>
    <w:tbl>
      <w:tblPr>
        <w:tblW w:type="dxa" w:w="1008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1F4E79" w:color="auto" w:val="clear"/>
            <w:tcMar>
              <w:top w:type="dxa" w:w="160"/>
              <w:left w:type="dxa" w:w="120"/>
              <w:bottom w:type="dxa" w:w="160"/>
              <w:right w:type="dxa" w:w="120"/>
            </w:tcMar>
          </w:tcPr>
          <w:p>
            <w:pPr>
              <w:spacing w:after="40"/>
              <w:jc w:val="center"/>
            </w:pPr>
            <w:r>
              <w:rPr>
                <w:b/>
                <w:bCs/>
                <w:color w:val="FFFFFF"/>
                <w:sz w:val="30"/>
                <w:szCs w:val="30"/>
              </w:rPr>
              <w:t xml:space="preserve">MONITORAMENTO EM DIREITO DA SAÚDE</w:t>
            </w:r>
          </w:p>
          <w:p>
            <w:pPr>
              <w:jc w:val="center"/>
            </w:pPr>
            <w:r>
              <w:rPr>
                <w:b/>
                <w:bCs/>
                <w:color w:val="DBE6F2"/>
                <w:sz w:val="18"/>
                <w:szCs w:val="18"/>
              </w:rPr>
              <w:t xml:space="preserve">Período de Referência: Ciclo Agosto/Setembro 2026</w:t>
            </w:r>
          </w:p>
        </w:tc>
      </w:tr>
    </w:tbl>
    <w:p>
      <w:pPr>
        <w:spacing w:after="160"/>
      </w:pPr>
    </w:p>
    <w:p>
      <w:pPr>
        <w:spacing w:after="80"/>
      </w:pPr>
      <w:r>
        <w:rPr>
          <w:b/>
          <w:bCs/>
          <w:color w:val="1F4E79"/>
          <w:sz w:val="16"/>
          <w:szCs w:val="16"/>
        </w:rPr>
        <w:t xml:space="preserve">COMO LER ESTA EDIÇÃO</w:t>
      </w:r>
    </w:p>
    <w:tbl>
      <w:tblPr>
        <w:tblW w:type="dxa" w:w="10080"/>
        <w:tblBorders>
          <w:top w:val="single" w:color="D7DDE8" w:sz="4"/>
          <w:left w:val="single" w:color="D7DDE8" w:sz="4"/>
          <w:bottom w:val="single" w:color="D7DDE8" w:sz="4"/>
          <w:right w:val="single" w:color="D7DDE8" w:sz="4"/>
          <w:insideH w:val="single" w:color="D7DDE8" w:sz="4"/>
          <w:insideV w:val="single" w:color="D7DDE8" w:sz="4"/>
        </w:tblBorders>
      </w:tblPr>
      <w:tblGrid>
        <w:gridCol w:w="5040"/>
        <w:gridCol w:w="5040"/>
      </w:tblGrid>
      <w:tr>
        <w:tc>
          <w:tcPr>
            <w:tcW w:type="dxa" w:w="5040"/>
            <w:tcBorders>
              <w:top w:val="single" w:color="D7DDE8" w:sz="4"/>
              <w:left w:val="single" w:color="1F4E79" w:sz="24"/>
              <w:bottom w:val="single" w:color="D7DDE8" w:sz="4"/>
              <w:right w:val="single" w:color="D7DD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1F4E79"/>
                <w:sz w:val="14"/>
                <w:szCs w:val="14"/>
                <w:shd w:fill="D9E2F3" w:color="auto" w:val="clear"/>
              </w:rPr>
              <w:t xml:space="preserve"> SUS </w:t>
            </w:r>
          </w:p>
          <w:p>
            <w:pPr>
              <w:jc w:val="both"/>
            </w:pPr>
            <w:r>
              <w:rPr>
                <w:color w:val="44554F"/>
                <w:sz w:val="17"/>
                <w:szCs w:val="17"/>
              </w:rPr>
              <w:t xml:space="preserve">Conteúdo do Sistema Único de Saúde — atos e demandas afetos à Justiça Federal (União, entes públicos, incorporação de tecnologias, fornecimento). Faixa lateral em azul institucional.</w:t>
            </w:r>
          </w:p>
        </w:tc>
        <w:tc>
          <w:tcPr>
            <w:tcW w:type="dxa" w:w="5040"/>
            <w:tcBorders>
              <w:top w:val="single" w:color="D7DDE8" w:sz="4"/>
              <w:left w:val="single" w:color="1F3864" w:sz="24"/>
              <w:bottom w:val="single" w:color="D7DDE8" w:sz="4"/>
              <w:right w:val="single" w:color="D7DDE8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14"/>
                <w:szCs w:val="14"/>
                <w:shd w:fill="1F3864" w:color="auto" w:val="clear"/>
              </w:rPr>
              <w:t xml:space="preserve"> SAÚDE SUPLEMENTAR </w:t>
            </w:r>
          </w:p>
          <w:p>
            <w:pPr>
              <w:jc w:val="both"/>
            </w:pPr>
            <w:r>
              <w:rPr>
                <w:color w:val="44554F"/>
                <w:sz w:val="17"/>
                <w:szCs w:val="17"/>
              </w:rPr>
              <w:t xml:space="preserve">Conteúdo de saúde suplementar — atos da ANS e demandas relativas a planos e seguros privados de assistência à saúde, predominantemente afetas à Justiça Estadual. Faixa lateral em azul-marinho.</w:t>
            </w:r>
          </w:p>
        </w:tc>
      </w:tr>
    </w:tbl>
    <w:p>
      <w:pPr>
        <w:spacing w:after="120" w:before="60"/>
        <w:jc w:val="both"/>
      </w:pPr>
      <w:r>
        <w:rPr>
          <w:i/>
          <w:iCs/>
          <w:color w:val="6B7280"/>
          <w:sz w:val="16"/>
          <w:szCs w:val="16"/>
        </w:rPr>
        <w:t xml:space="preserve">Cada ficha e cada bloco trazem o selo de âmbito, e a cor da faixa lateral acompanha o selo. A segregação por âmbito é meramente organizativa e não altera o caráter informativo da publicação.</w:t>
      </w:r>
    </w:p>
    <w:tbl>
      <w:tblPr>
        <w:tblW w:type="dxa" w:w="10080"/>
        <w:tblBorders>
          <w:top w:val="single" w:color="BF8F00" w:sz="8"/>
          <w:left w:val="single" w:color="BF8F00" w:sz="8"/>
          <w:bottom w:val="single" w:color="BF8F00" w:sz="8"/>
          <w:right w:val="single" w:color="BF8F00" w:sz="8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FF2CB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b/>
                <w:bCs/>
                <w:color w:val="BF8F00"/>
                <w:sz w:val="15"/>
                <w:szCs w:val="15"/>
              </w:rPr>
              <w:t xml:space="preserve">NOTA DE TRANSPARÊNCIA E ISENÇÃO</w:t>
            </w:r>
          </w:p>
          <w:p>
            <w:pPr>
              <w:jc w:val="both"/>
            </w:pPr>
            <w:r>
              <w:rPr>
                <w:color w:val="1F3864"/>
                <w:sz w:val="18"/>
                <w:szCs w:val="18"/>
              </w:rPr>
              <w:t xml:space="preserve">Este relatório foi processado com suporte de Inteligência Artificial para análise de dados e estruturação normativa, submetido à revisão humana integral e validação técnica do Grupo de Trabalho instituído pela Portaria CGADS-3R Nº 1/2026. Apresenta, de forma objetiva e concisa, resumos de teses, precedentes e atos normativos de interesse da Justiça Federal e da Justiça Estadual. Ressalta-se que este periódico possui caráter estritamente informativo e orientador, não constituindo repositório oficial de jurisprudência ou de atos administrativos. A consulta à fonte primária é indispensável para fins de peticionamento e fundamentação de decisões judiciais.</w:t>
            </w:r>
          </w:p>
        </w:tc>
      </w:tr>
    </w:tbl>
    <w:p>
      <w:pPr>
        <w:spacing w:after="160"/>
      </w:pPr>
    </w:p>
    <w:tbl>
      <w:tblPr>
        <w:tblW w:type="dxa" w:w="10080"/>
        <w:tblBorders>
          <w:top w:val="single" w:color="1F4E79" w:sz="8"/>
          <w:left w:val="single" w:color="1F4E79" w:sz="8"/>
          <w:bottom w:val="single" w:color="1F4E79" w:sz="8"/>
          <w:right w:val="single" w:color="1F4E79" w:sz="8"/>
          <w:insideH w:val="none" w:color="auto" w:sz="0"/>
          <w:insideV w:val="none" w:color="auto" w:sz="0"/>
        </w:tblBorders>
      </w:tblPr>
      <w:tblGrid>
        <w:gridCol w:w="6048"/>
        <w:gridCol w:w="4032"/>
      </w:tblGrid>
      <w:tr>
        <w:tc>
          <w:tcPr>
            <w:tcW w:type="dxa" w:w="10080"/>
            <w:gridSpan w:val="2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1F4E79" w:color="auto" w:val="clear"/>
            <w:tcMar>
              <w:top w:type="dxa" w:w="70"/>
              <w:left w:type="dxa" w:w="140"/>
              <w:bottom w:type="dxa" w:w="70"/>
              <w:right w:type="dxa" w:w="140"/>
            </w:tcMar>
          </w:tcPr>
          <w:p>
            <w:r>
              <w:rPr>
                <w:b/>
                <w:bCs/>
                <w:color w:val="FFFFFF"/>
                <w:sz w:val="16"/>
                <w:szCs w:val="16"/>
              </w:rPr>
              <w:t xml:space="preserve">NESTA EDIÇÃO</w:t>
            </w:r>
          </w:p>
        </w:tc>
      </w:tr>
      <w:tr>
        <w:tc>
          <w:tcPr>
            <w:tcW w:type="dxa" w:w="604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80"/>
            </w:tcMar>
          </w:tcPr>
          <w:p>
            <w:r>
              <w:rPr>
                <w:b/>
                <w:bCs/>
                <w:color w:val="1F3864"/>
                <w:sz w:val="18"/>
                <w:szCs w:val="18"/>
              </w:rPr>
              <w:t xml:space="preserve">Sumário Executivo</w:t>
            </w:r>
          </w:p>
        </w:tc>
        <w:tc>
          <w:tcPr>
            <w:tcW w:type="dxa" w:w="4032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auto" w:val="clear"/>
            <w:tcMar>
              <w:top w:type="dxa" w:w="90"/>
              <w:left w:type="dxa" w:w="8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b w:val="false"/>
                <w:bCs w:val="false"/>
                <w:color w:val="1F4E79"/>
                <w:sz w:val="18"/>
                <w:szCs w:val="18"/>
              </w:rPr>
              <w:t xml:space="preserve">Visão geral</w:t>
            </w:r>
          </w:p>
        </w:tc>
      </w:tr>
      <w:tr>
        <w:tc>
          <w:tcPr>
            <w:tcW w:type="dxa" w:w="604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2F6FB" w:color="auto" w:val="clear"/>
            <w:tcMar>
              <w:top w:type="dxa" w:w="90"/>
              <w:left w:type="dxa" w:w="140"/>
              <w:bottom w:type="dxa" w:w="90"/>
              <w:right w:type="dxa" w:w="80"/>
            </w:tcMar>
          </w:tcPr>
          <w:p>
            <w:r>
              <w:rPr>
                <w:b/>
                <w:bCs/>
                <w:color w:val="1F3864"/>
                <w:sz w:val="18"/>
                <w:szCs w:val="18"/>
              </w:rPr>
              <w:t xml:space="preserve">Jurisprudência (SUS · Suplementar)</w:t>
            </w:r>
          </w:p>
        </w:tc>
        <w:tc>
          <w:tcPr>
            <w:tcW w:type="dxa" w:w="4032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2F6FB" w:color="auto" w:val="clear"/>
            <w:tcMar>
              <w:top w:type="dxa" w:w="90"/>
              <w:left w:type="dxa" w:w="8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1 SUS · 2 Suplementar</w:t>
            </w:r>
          </w:p>
        </w:tc>
      </w:tr>
      <w:tr>
        <w:tc>
          <w:tcPr>
            <w:tcW w:type="dxa" w:w="604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80"/>
            </w:tcMar>
          </w:tcPr>
          <w:p>
            <w:r>
              <w:rPr>
                <w:b/>
                <w:bCs/>
                <w:color w:val="1F3864"/>
                <w:sz w:val="18"/>
                <w:szCs w:val="18"/>
              </w:rPr>
              <w:t xml:space="preserve">E-NatJus / Evidências</w:t>
            </w:r>
          </w:p>
        </w:tc>
        <w:tc>
          <w:tcPr>
            <w:tcW w:type="dxa" w:w="4032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auto" w:val="clear"/>
            <w:tcMar>
              <w:top w:type="dxa" w:w="90"/>
              <w:left w:type="dxa" w:w="8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2 revisões</w:t>
            </w:r>
          </w:p>
        </w:tc>
      </w:tr>
      <w:tr>
        <w:tc>
          <w:tcPr>
            <w:tcW w:type="dxa" w:w="604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2F6FB" w:color="auto" w:val="clear"/>
            <w:tcMar>
              <w:top w:type="dxa" w:w="90"/>
              <w:left w:type="dxa" w:w="140"/>
              <w:bottom w:type="dxa" w:w="90"/>
              <w:right w:type="dxa" w:w="80"/>
            </w:tcMar>
          </w:tcPr>
          <w:p>
            <w:r>
              <w:rPr>
                <w:b/>
                <w:bCs/>
                <w:color w:val="1F3864"/>
                <w:sz w:val="18"/>
                <w:szCs w:val="18"/>
              </w:rPr>
              <w:t xml:space="preserve">Legislação e Atos Normativos</w:t>
            </w:r>
          </w:p>
        </w:tc>
        <w:tc>
          <w:tcPr>
            <w:tcW w:type="dxa" w:w="4032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2F6FB" w:color="auto" w:val="clear"/>
            <w:tcMar>
              <w:top w:type="dxa" w:w="90"/>
              <w:left w:type="dxa" w:w="8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2 leis · 5 portarias · 5 CONITEC</w:t>
            </w:r>
          </w:p>
        </w:tc>
      </w:tr>
      <w:tr>
        <w:tc>
          <w:tcPr>
            <w:tcW w:type="dxa" w:w="604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auto" w:val="clear"/>
            <w:tcMar>
              <w:top w:type="dxa" w:w="90"/>
              <w:left w:type="dxa" w:w="140"/>
              <w:bottom w:type="dxa" w:w="90"/>
              <w:right w:type="dxa" w:w="80"/>
            </w:tcMar>
          </w:tcPr>
          <w:p>
            <w:r>
              <w:rPr>
                <w:b/>
                <w:bCs/>
                <w:color w:val="1F3864"/>
                <w:sz w:val="18"/>
                <w:szCs w:val="18"/>
              </w:rPr>
              <w:t xml:space="preserve">Iniciativas Institucionais</w:t>
            </w:r>
          </w:p>
        </w:tc>
        <w:tc>
          <w:tcPr>
            <w:tcW w:type="dxa" w:w="4032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FFFFF" w:color="auto" w:val="clear"/>
            <w:tcMar>
              <w:top w:type="dxa" w:w="90"/>
              <w:left w:type="dxa" w:w="8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4 iniciativas</w:t>
            </w:r>
          </w:p>
        </w:tc>
      </w:tr>
      <w:tr>
        <w:tc>
          <w:tcPr>
            <w:tcW w:type="dxa" w:w="604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2F6FB" w:color="auto" w:val="clear"/>
            <w:tcMar>
              <w:top w:type="dxa" w:w="90"/>
              <w:left w:type="dxa" w:w="140"/>
              <w:bottom w:type="dxa" w:w="90"/>
              <w:right w:type="dxa" w:w="80"/>
            </w:tcMar>
          </w:tcPr>
          <w:p>
            <w:r>
              <w:rPr>
                <w:b/>
                <w:bCs/>
                <w:color w:val="1F3864"/>
                <w:sz w:val="18"/>
                <w:szCs w:val="18"/>
              </w:rPr>
              <w:t xml:space="preserve">ANVISA</w:t>
            </w:r>
          </w:p>
        </w:tc>
        <w:tc>
          <w:tcPr>
            <w:tcW w:type="dxa" w:w="4032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2F6FB" w:color="auto" w:val="clear"/>
            <w:tcMar>
              <w:top w:type="dxa" w:w="90"/>
              <w:left w:type="dxa" w:w="80"/>
              <w:bottom w:type="dxa" w:w="90"/>
              <w:right w:type="dxa" w:w="140"/>
            </w:tcMar>
          </w:tcPr>
          <w:p>
            <w:pPr>
              <w:jc w:val="right"/>
            </w:pPr>
            <w:r>
              <w:rPr>
                <w:b/>
                <w:bCs/>
                <w:color w:val="1F4E79"/>
                <w:sz w:val="18"/>
                <w:szCs w:val="18"/>
              </w:rPr>
              <w:t xml:space="preserve">5 registros · 1 cancelamento</w:t>
            </w:r>
          </w:p>
        </w:tc>
      </w:tr>
    </w:tbl>
    <w:p>
      <w:pPr>
        <w:spacing w:after="200"/>
      </w:pPr>
    </w:p>
    <w:p>
      <w:pPr>
        <w:pStyle w:val="Heading1"/>
        <w:pBdr>
          <w:bottom w:val="single" w:color="1F4E79" w:sz="12"/>
        </w:pBdr>
        <w:spacing w:after="100" w:before="200"/>
      </w:pPr>
      <w:r>
        <w:rPr>
          <w:b/>
          <w:bCs/>
          <w:color w:val="1F4E79"/>
          <w:sz w:val="26"/>
          <w:szCs w:val="26"/>
        </w:rPr>
        <w:t xml:space="preserve">1. Sumário Executivo</w:t>
      </w:r>
    </w:p>
    <w:p>
      <w:pPr>
        <w:spacing w:after="100"/>
        <w:jc w:val="both"/>
      </w:pPr>
      <w:r>
        <w:rPr>
          <w:color w:val="1F2733"/>
          <w:sz w:val="19"/>
          <w:szCs w:val="19"/>
        </w:rPr>
        <w:t xml:space="preserve">O presente Monitoramento em Direito da Saúde — Edição 6/2026 cobre o Ciclo Agosto/Setembro 2026 (período de referência: 5/8 a 8/9/2026) e reúne as principais novidades normativas e jurisprudenciais com repercussão na prestação jurisdicional em matéria de saúde, nos âmbitos da Justiça Federal e da Justiça Estadual. O conteúdo foi organizado em dois âmbitos: SUS (atos e demandas afetos à Justiça Federal) e Saúde Suplementar (atos da ANS e demandas relativas a planos privados, predominantemente afetas à Justiça Estadual).</w:t>
      </w:r>
    </w:p>
    <w:p>
      <w:pPr>
        <w:spacing w:after="100"/>
        <w:jc w:val="both"/>
      </w:pPr>
      <w:r>
        <w:rPr>
          <w:color w:val="1F2733"/>
          <w:sz w:val="19"/>
          <w:szCs w:val="19"/>
        </w:rPr>
        <w:t xml:space="preserve">Jurisprudência — Âmbito SUS: não foram identificados julgados do STF em matéria de saúde no período (Informativos n. 1.224 a 1.226; recesso forense de julho). Nos Informativos STJ n. 896 a 899 não se localizou tese de mérito sobre fornecimento ou dispensação de tecnologias no SUS; registra-se apenas julgado de interface processual da 3ª Turma sobre gratuidade de justiça a paciente em tratamento oncológico (Estatuto da Pessoa com Câncer).</w:t>
      </w:r>
    </w:p>
    <w:p>
      <w:pPr>
        <w:spacing w:after="100"/>
        <w:jc w:val="both"/>
      </w:pPr>
      <w:r>
        <w:rPr>
          <w:color w:val="1F2733"/>
          <w:sz w:val="19"/>
          <w:szCs w:val="19"/>
        </w:rPr>
        <w:t xml:space="preserve">Jurisprudência — Âmbito Saúde Suplementar: a 2ª Seção do STJ admitiu duas afetações ao rito dos repetitivos — Tema 1.463 (obrigatoriedade de cobertura de musicoterapia a beneficiário com TEA) e Tema 1.467 (equiparação da mora injustificada da operadora à recusa de cobertura, na esteira do Tema 1.365). Ambas tendem a padronizar parâmetros de cobertura e podem ensejar suspensão de processos correlatos.</w:t>
      </w:r>
    </w:p>
    <w:p>
      <w:pPr>
        <w:spacing w:after="100"/>
        <w:jc w:val="both"/>
      </w:pPr>
      <w:r>
        <w:rPr>
          <w:color w:val="1F2733"/>
          <w:sz w:val="19"/>
          <w:szCs w:val="19"/>
        </w:rPr>
        <w:t xml:space="preserve">E-NatJus: duas revisões sistemáticas do NATS/NEv-HSL foram disponibilizadas no ciclo — casimersena para distrofia muscular de Duchenne (sem registro na ANVISA; certeza da evidência muito baixa) e volanesorsena para síndrome da quilomicronemia familiar (com registro na ANVISA para indicação específica, mas sem incorporação ao SUS; baixa certeza da evidência).</w:t>
      </w:r>
    </w:p>
    <w:p>
      <w:pPr>
        <w:spacing w:after="100"/>
        <w:jc w:val="both"/>
      </w:pPr>
      <w:r>
        <w:rPr>
          <w:color w:val="1F2733"/>
          <w:sz w:val="19"/>
          <w:szCs w:val="19"/>
        </w:rPr>
        <w:t xml:space="preserve">Legislação e atos normativos: foram publicadas as Leis n. 15.493 e 15.492/2026 (avaliação periódica da saúde da mulher no SUS; Política Nacional de Proteção da Pessoa com Síndrome de Tourette). No âmbito do Ministério da Saúde, cinco portarias com repercussão em demandas judiciais, com destaque para a sistematização do AF-Onco (Portaria Conjunta n. 3) e as Centrais de Diluição (Portaria GM/MS n. 12.085). Na CONITEC, aprovação dos PCDTs de Doença de Crohn, Endometriose e Hipoparatireoidismo (os dois primeiros com atualização de anexo/conteúdo em 19/08/2026), incorporação do ácido acetilsalicílico (prevenção de pré-eclâmpsia) e Protocolo de Uso de Iodeto de Potássio (emergência nuclear).</w:t>
      </w:r>
    </w:p>
    <w:p>
      <w:pPr>
        <w:spacing w:after="100"/>
        <w:jc w:val="both"/>
      </w:pPr>
      <w:r>
        <w:rPr>
          <w:color w:val="1F2733"/>
          <w:sz w:val="19"/>
          <w:szCs w:val="19"/>
        </w:rPr>
        <w:t xml:space="preserve">ANS — Saúde Suplementar: não houve publicação de Resolução Normativa de impacto geral no período; a 54ª reunião da Cosaúde sinalizou incorporações próximas ao Rol (teste de 21 genes para câncer de mama, dispositivo de modulação da contratilidade cardíaca e mamografia digital), matérias de crescente judicialização na saúde suplementar.</w:t>
      </w:r>
    </w:p>
    <w:p>
      <w:pPr>
        <w:spacing w:after="100"/>
        <w:jc w:val="both"/>
      </w:pPr>
      <w:r>
        <w:rPr>
          <w:color w:val="1F2733"/>
          <w:sz w:val="19"/>
          <w:szCs w:val="19"/>
        </w:rPr>
        <w:t xml:space="preserve">Iniciativas institucionais e ANVISA: destacam-se o 19º Fonajus Itinerante (Porto Velho/RO), que reportou a primeira redução na judicialização da saúde pública e antecipou os efeitos da Lei de Relevância da Questão Federal; o Encontro Técnico do Instituto Consenso sobre os 10 anos da Rede NatJus (e-NatJus 4.0, IA e integração com a Plataforma Nacional de Saúde do Tema 1.234/STF); o Seminário ANS/FGV sobre integração entre SUS e saúde suplementar; e a Oficina CONASS de implementação da PNPCC e do AF-Onco. No campo sanitário, a ANVISA concedeu cinco novos registros/indicações (Duvyzat, Imaavy, Vanrafia, Fruzaqla e Lunsumio SC) e publicou o cancelamento do registro condicional do Elevidys (terapia gênica para DMD), situação que inverte a lógica usual do Tema 6/STF ao atingir produto anteriormente objeto de liminares.</w:t>
      </w:r>
    </w:p>
    <w:p>
      <w:pPr>
        <w:pStyle w:val="Heading1"/>
        <w:pBdr>
          <w:bottom w:val="single" w:color="1F4E79" w:sz="12"/>
        </w:pBdr>
        <w:spacing w:after="100" w:before="200"/>
      </w:pPr>
      <w:r>
        <w:rPr>
          <w:b/>
          <w:bCs/>
          <w:color w:val="1F4E79"/>
          <w:sz w:val="26"/>
          <w:szCs w:val="26"/>
        </w:rPr>
        <w:t xml:space="preserve">2. Jurisprudência</w:t>
      </w: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2.1 Jurisprudência</w:t>
      </w:r>
      <w:r>
        <w:t xml:space="preserve">  </w:t>
      </w:r>
      <w:r>
        <w:rPr>
          <w:b/>
          <w:bCs/>
          <w:color w:val="1F4E79"/>
          <w:sz w:val="14"/>
          <w:szCs w:val="14"/>
          <w:shd w:fill="D9E2F3" w:color="auto" w:val="clear"/>
        </w:rPr>
        <w:t xml:space="preserve"> SUS </w:t>
      </w:r>
    </w:p>
    <w:p>
      <w:pPr>
        <w:spacing w:after="60" w:before="100"/>
      </w:pPr>
      <w:r>
        <w:rPr>
          <w:b/>
          <w:bCs/>
          <w:color w:val="1F4E79"/>
          <w:sz w:val="19"/>
          <w:szCs w:val="19"/>
        </w:rPr>
        <w:t xml:space="preserve">Supremo Tribunal Federal (STF)</w:t>
      </w:r>
    </w:p>
    <w:tbl>
      <w:tblPr>
        <w:tblW w:type="dxa" w:w="10080"/>
        <w:tblBorders>
          <w:top w:val="single" w:color="BF8F00" w:sz="8"/>
          <w:left w:val="single" w:color="BF8F00" w:sz="8"/>
          <w:bottom w:val="single" w:color="BF8F00" w:sz="8"/>
          <w:right w:val="single" w:color="BF8F00" w:sz="8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FF2CB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b/>
                <w:bCs/>
                <w:color w:val="BF8F00"/>
                <w:sz w:val="15"/>
                <w:szCs w:val="15"/>
              </w:rPr>
              <w:t xml:space="preserve">NOTA DE AUSÊNCIA — STF</w:t>
            </w:r>
          </w:p>
          <w:p>
            <w:pPr>
              <w:jc w:val="both"/>
            </w:pPr>
            <w:r>
              <w:rPr>
                <w:color w:val="1F3864"/>
                <w:sz w:val="18"/>
                <w:szCs w:val="18"/>
              </w:rPr>
              <w:t xml:space="preserve">Não foram identificados, no período de referência, julgados do STF em matéria de saúde. Triados os Informativos STF n. 1.224 a 1.226, não há acórdãos colegiados com interface com o Direito da Saúde; soma-se o recesso forense de 2 a 31 de julho de 2026, que suspende os julgamentos de colegiado. Avaliadas e não incluídas as ADIs 7.779 e 7.790 (matéria tributária, sem pertinência temática). A subseção é mantida para preservar a comparabilidade entre as edições.</w:t>
            </w:r>
          </w:p>
        </w:tc>
      </w:tr>
    </w:tbl>
    <w:p>
      <w:pPr>
        <w:spacing w:after="100"/>
      </w:pPr>
    </w:p>
    <w:p>
      <w:pPr>
        <w:spacing w:after="60" w:before="100"/>
      </w:pPr>
      <w:r>
        <w:rPr>
          <w:b/>
          <w:bCs/>
          <w:color w:val="1F4E79"/>
          <w:sz w:val="19"/>
          <w:szCs w:val="19"/>
        </w:rPr>
        <w:t xml:space="preserve">Superior Tribunal de Justiça (STJ)</w:t>
      </w:r>
    </w:p>
    <w:tbl>
      <w:tblPr>
        <w:tblW w:type="dxa" w:w="10080"/>
        <w:tblBorders>
          <w:top w:val="single" w:color="BF8F00" w:sz="8"/>
          <w:left w:val="single" w:color="BF8F00" w:sz="8"/>
          <w:bottom w:val="single" w:color="BF8F00" w:sz="8"/>
          <w:right w:val="single" w:color="BF8F00" w:sz="8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FF2CB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b/>
                <w:bCs/>
                <w:color w:val="BF8F00"/>
                <w:sz w:val="15"/>
                <w:szCs w:val="15"/>
              </w:rPr>
              <w:t xml:space="preserve">NOTA — STJ | ÂMBITO SUS</w:t>
            </w:r>
          </w:p>
          <w:p>
            <w:pPr>
              <w:jc w:val="both"/>
            </w:pPr>
            <w:r>
              <w:rPr>
                <w:color w:val="1F3864"/>
                <w:sz w:val="18"/>
                <w:szCs w:val="18"/>
              </w:rPr>
              <w:t xml:space="preserve">Não se identificou, nos Informativos STJ n. 896 a 899, tese de mérito sobre fornecimento ou dispensação de tecnologias no âmbito do SUS. Registra-se abaixo julgado de interface direta com o direito à saúde.</w:t>
            </w:r>
          </w:p>
        </w:tc>
      </w:tr>
    </w:tbl>
    <w:p>
      <w:pPr>
        <w:spacing w:after="10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1F4E79"/>
                <w:sz w:val="13"/>
                <w:szCs w:val="13"/>
                <w:shd w:fill="D9E2F3" w:color="auto" w:val="clear"/>
              </w:rPr>
              <w:t xml:space="preserve"> SUS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JURISPRUDÊNCIA — STJ (1/1)</w:t>
            </w:r>
          </w:p>
          <w:p>
            <w:pPr>
              <w:spacing w:after="2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REsp em segredo de justiça — STJ, 3ª Turma — j. 04/08/2026 (Inf. 896)</w:t>
            </w:r>
          </w:p>
          <w:p>
            <w:pPr>
              <w:spacing w:after="60"/>
            </w:pPr>
            <w:r>
              <w:rPr>
                <w:i/>
                <w:iCs/>
                <w:color w:val="37475A"/>
                <w:sz w:val="18"/>
                <w:szCs w:val="18"/>
              </w:rPr>
              <w:t xml:space="preserve">Justiça gratuita na fase recursal a paciente em tratamento oncológico; hipossuficiência superveniente e reservas afetadas a moradia e saúde.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Órgão Julgador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STJ — Terceira Turma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Relator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Min. Moura Ribeiro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Tese Firmada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Julgado de Turma (não repetitivo). A existência de reservas financeiras não afasta, por si só, a presunção de hipossuficiência da pessoa física quando afetadas a necessidades básicas e urgentes — moradia e saúde —, notadamente em tratamento de neoplasia maligna, sendo incompatível exigir sua liquidação para pagamento de custas.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Síntese / Fundamentos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Art. 98 do CPC lido à luz da dignidade e do mínimo existencial; Lei 14.238/2021 (Estatuto da Pessoa com Câncer), art. 2º, I; menção ao PL 917/2024. Reserva de ~R$ 100 mil, ante renda de um salário mínimo e enfermidade de alto custo, qualificada como reserva de sobrevivência. Processo em segredo de justiça (sem número público).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Parâmetro para aferição de hipossuficiência de autores em tratamento de doença grave/alto custo — recorrente na Justiça Federal em ações previdenciárias, assistenciais e de saúde.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Resultado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Recurso provido; gratuidade deferida (reforma da origem).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2snavea9difm3jdzqazjl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STJ — Informativo n. 896 (12/08/2026)</w:t>
                    </w:r>
                  </w:hyperlink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Âmbito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SUS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Nota de Classificação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Julgado proferido pela 3ª Turma do STJ (2ª Seção — Direito Privado). Classificado em Âmbito SUS por versar sobre gratuidade de justiça a paciente em tratamento oncológico, com interface processual direta com o direito à saúde e aplicabilidade nas varas federais cíveis e previdenciárias.</w:t>
                  </w:r>
                </w:p>
              </w:tc>
            </w:tr>
          </w:tbl>
          <w:p/>
        </w:tc>
      </w:tr>
    </w:tbl>
    <w:p>
      <w:pPr>
        <w:spacing w:after="120"/>
      </w:pPr>
    </w:p>
    <w:p>
      <w:pPr>
        <w:spacing w:after="60" w:before="100"/>
      </w:pPr>
      <w:r>
        <w:rPr>
          <w:b/>
          <w:bCs/>
          <w:color w:val="1F4E79"/>
          <w:sz w:val="19"/>
          <w:szCs w:val="19"/>
        </w:rPr>
        <w:t xml:space="preserve">Tribunais Regionais Federais (TRFs)</w:t>
      </w:r>
    </w:p>
    <w:p>
      <w:pPr>
        <w:spacing w:after="100"/>
      </w:pPr>
      <w:r>
        <w:rPr>
          <w:i/>
          <w:iCs/>
          <w:color w:val="6B7280"/>
          <w:sz w:val="17"/>
          <w:szCs w:val="17"/>
        </w:rPr>
        <w:t xml:space="preserve">A curadoria desta seção é realizada mediante contribuição. Encaminhe julgados e iniciativas ao Grupo de Trabalho em Direito da Saúde — TRF3.</w:t>
      </w: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2.2 Jurisprudência</w:t>
      </w:r>
      <w:r>
        <w:t xml:space="preserve">  </w:t>
      </w:r>
      <w:r>
        <w:rPr>
          <w:b/>
          <w:bCs/>
          <w:color w:val="FFFFFF"/>
          <w:sz w:val="14"/>
          <w:szCs w:val="14"/>
          <w:shd w:fill="1F3864" w:color="auto" w:val="clear"/>
        </w:rPr>
        <w:t xml:space="preserve"> SAÚDE SUPLEMENTAR </w:t>
      </w:r>
    </w:p>
    <w:p>
      <w:pPr>
        <w:spacing w:after="60" w:before="100"/>
      </w:pPr>
      <w:r>
        <w:rPr>
          <w:b/>
          <w:bCs/>
          <w:color w:val="1F4E79"/>
          <w:sz w:val="19"/>
          <w:szCs w:val="19"/>
        </w:rPr>
        <w:t xml:space="preserve">Superior Tribunal de Justiça (STJ)</w:t>
      </w: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3864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13"/>
                <w:szCs w:val="13"/>
                <w:shd w:fill="1F3864" w:color="auto" w:val="clear"/>
              </w:rPr>
              <w:t xml:space="preserve"> SAÚDE SUPLEMENTAR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AFETAÇÃO — STJ (1/2)</w:t>
            </w:r>
          </w:p>
          <w:p>
            <w:pPr>
              <w:spacing w:after="2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ProAfR no REsp 2.242.804/AC e 2.129.469/SP — STJ, 2ª Seção — afetação em 30/06/2026 (DJEN 03/08/2026) — Tema 1.463/STJ (Inf. 899)</w:t>
            </w:r>
          </w:p>
          <w:p>
            <w:pPr>
              <w:spacing w:after="60"/>
            </w:pPr>
            <w:r>
              <w:rPr>
                <w:i/>
                <w:iCs/>
                <w:color w:val="37475A"/>
                <w:sz w:val="18"/>
                <w:szCs w:val="18"/>
              </w:rPr>
              <w:t xml:space="preserve">Obrigatoriedade de custeio de musicoterapia, pela operadora, a beneficiário com transtorno do espectro autista (TEA).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Órgão Julgador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STJ — Segunda Seção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Relator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Min. Raul Araújo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Tese Firmada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Pendente — controvérsia afetada ao rito dos repetitivos (Direito do Consumidor).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Síntese / Fundamentos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Uniformização sobre o dever de cobertura de musicoterapia no TEA no âmbito da saúde suplementar.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Definirá parâmetro de cobertura de terapias para TEA; possível suspensão de processos correlatos na Justiça Federal.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Resultado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Afetação admitida (aguarda mérito).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7m1j7dnvbqci98yvwje9v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STJ — Informativo n. 899 (01/09/2026)</w:t>
                    </w:r>
                  </w:hyperlink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Âmbito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Saúde Suplementar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3864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13"/>
                <w:szCs w:val="13"/>
                <w:shd w:fill="1F3864" w:color="auto" w:val="clear"/>
              </w:rPr>
              <w:t xml:space="preserve"> SAÚDE SUPLEMENTAR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AFETAÇÃO — STJ (2/2)</w:t>
            </w:r>
          </w:p>
          <w:p>
            <w:pPr>
              <w:spacing w:after="2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ProAfR no REsp 2.223.773/MA, 2.222.623/MA e 2.222.624/MA — STJ, 2ª Seção — afetação em 30/06/2026 (DJEN 04/08/2026) — Tema 1.467/STJ (Inf. 899)</w:t>
            </w:r>
          </w:p>
          <w:p>
            <w:pPr>
              <w:spacing w:after="60"/>
            </w:pPr>
            <w:r>
              <w:rPr>
                <w:i/>
                <w:iCs/>
                <w:color w:val="37475A"/>
                <w:sz w:val="18"/>
                <w:szCs w:val="18"/>
              </w:rPr>
              <w:t xml:space="preserve">Equivalência entre a demora injustificada da operadora em autorizar tratamento prescrito e a recusa indevida de cobertura (aplicação do Tema 1.365/STJ).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Órgão Julgador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STJ — Segunda Seção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Relator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Min. Ricardo Villas Bôas Cueva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Tese Firmada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Pendente — afetação ao rito dos repetitivos (Direito Civil).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Síntese / Fundamentos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Uniformização sobre a equiparação da mora da operadora à recusa de cobertura para fins do Tema 1.365.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Tende a padronizar a mora como recusa de cobertura (obrigação de fazer/danos morais); possível suspensão de processos correlatos na Justiça Federal.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Resultado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Afetação admitida (aguarda mérito).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yen4jidwnirnuxwirtpue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STJ — Informativo n. 899 (01/09/2026)</w:t>
                    </w:r>
                  </w:hyperlink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Âmbito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Saúde Suplementar</w:t>
                  </w:r>
                </w:p>
              </w:tc>
            </w:tr>
          </w:tbl>
          <w:p/>
        </w:tc>
      </w:tr>
    </w:tbl>
    <w:p>
      <w:pPr>
        <w:spacing w:after="120"/>
      </w:pPr>
    </w:p>
    <w:p>
      <w:pPr>
        <w:spacing w:after="60" w:before="100"/>
      </w:pPr>
      <w:r>
        <w:rPr>
          <w:b/>
          <w:bCs/>
          <w:color w:val="1F4E79"/>
          <w:sz w:val="19"/>
          <w:szCs w:val="19"/>
        </w:rPr>
        <w:t xml:space="preserve">Tribunais de Justiça (TJs)</w:t>
      </w:r>
    </w:p>
    <w:p>
      <w:pPr>
        <w:spacing w:after="100"/>
      </w:pPr>
      <w:r>
        <w:rPr>
          <w:i/>
          <w:iCs/>
          <w:color w:val="6B7280"/>
          <w:sz w:val="17"/>
          <w:szCs w:val="17"/>
        </w:rPr>
        <w:t xml:space="preserve">A curadoria desta seção é realizada mediante contribuição. Encaminhe julgados e iniciativas ao Grupo de Trabalho em Direito da Saúde — TRF3.</w:t>
      </w:r>
    </w:p>
    <w:p>
      <w:pPr>
        <w:pStyle w:val="Heading1"/>
        <w:pBdr>
          <w:bottom w:val="single" w:color="1F4E79" w:sz="12"/>
        </w:pBdr>
        <w:spacing w:after="100" w:before="200"/>
      </w:pPr>
      <w:r>
        <w:rPr>
          <w:b/>
          <w:bCs/>
          <w:color w:val="1F4E79"/>
          <w:sz w:val="26"/>
          <w:szCs w:val="26"/>
        </w:rPr>
        <w:t xml:space="preserve">3. E-NatJus / Evidências Técnico-Científicas</w:t>
      </w: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1F4E79"/>
                <w:sz w:val="13"/>
                <w:szCs w:val="13"/>
                <w:shd w:fill="D9E2F3" w:color="auto" w:val="clear"/>
              </w:rPr>
              <w:t xml:space="preserve"> SUS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E-NATJUS — REVISÃO SISTEMÁTICA (1/2)</w:t>
            </w:r>
          </w:p>
          <w:p>
            <w:pPr>
              <w:spacing w:after="2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Revisão Sistemática — e-NatJus/NATS·NEv-HSL — São Paulo, 20/08/2026 (disponibilizada em 02/09/2026)</w:t>
            </w:r>
          </w:p>
          <w:p>
            <w:pPr>
              <w:spacing w:after="60"/>
            </w:pPr>
            <w:r>
              <w:rPr>
                <w:i/>
                <w:iCs/>
                <w:color w:val="37475A"/>
                <w:sz w:val="18"/>
                <w:szCs w:val="18"/>
              </w:rPr>
              <w:t xml:space="preserve">Casimersena para distrofia muscular de Duchenne (DMD) com mutação passível de salto do éxon 45.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Fonte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Núcleo de Avaliação de Tecnologias em Saúde / Núcleo de Evidências — Hospital Sírio-Libanês (NATS/NEv-HSL), por encomenda do e-NatJus.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Conclusão Principal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Os efeitos da casimersena sobre a expressão da distrofina, quaisquer eventos adversos e eventos adversos graves são incertos (certeza da evidência muito baixa). Os desfechos de função motora, pulmonar, cardíaca e qualidade de vida não foram avaliados pelos ensaios incluídos. Dois ensaios clínicos randomizados (n=149) foram incluídos; ambos compararam casimersena versus placebo.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Medicamento sem registro na ANVISA e sem avaliação pela CONITEC ou ANS (posição de agosto/2026). A ausência de aprovação regulatória nacional é parâmetro relevante para análise de pedidos liminares de fornecimento pelo SUS; a baixíssima certeza das evidências reforça a necessidade de cautela judicial.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iqczl8joknhn6ed58ardd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e-NatJus — Revisão Sistemática (1/2)</w:t>
                    </w:r>
                  </w:hyperlink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Âmbito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SUS</w:t>
                  </w:r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1F4E79"/>
                <w:sz w:val="13"/>
                <w:szCs w:val="13"/>
                <w:shd w:fill="D9E2F3" w:color="auto" w:val="clear"/>
              </w:rPr>
              <w:t xml:space="preserve"> SUS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E-NATJUS — REVISÃO SISTEMÁTICA (2/2)</w:t>
            </w:r>
          </w:p>
          <w:p>
            <w:pPr>
              <w:spacing w:after="2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Revisão Sistemática — e-NatJus/NATS·NEv-HSL — São Paulo, 31/08/2026 (disponibilizada em 01/09/2026)</w:t>
            </w:r>
          </w:p>
          <w:p>
            <w:pPr>
              <w:spacing w:after="60"/>
            </w:pPr>
            <w:r>
              <w:rPr>
                <w:i/>
                <w:iCs/>
                <w:color w:val="37475A"/>
                <w:sz w:val="18"/>
                <w:szCs w:val="18"/>
              </w:rPr>
              <w:t xml:space="preserve">Volanesorsena para síndrome da quilomicronemia familiar (SQF) geneticamente confirmada.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Fonte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Núcleo de Avaliação de Tecnologias em Saúde / Núcleo de Evidências — Hospital Sírio-Libanês (NATS/NEv-HSL), por encomenda do e-NatJus.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Conclusão Principal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 volanesorsena pode resultar em redução dos níveis séricos de triglicerídeos e ApoC-III após 12 meses (baixa certeza). Seus efeitos sobre o risco de pancreatite aguda, eventos adversos e eventos adversos graves são incertos (certeza muito baixa). Dois ensaios clínicos randomizados (APPROACH e COMPASS; n=73) foram incluídos, comparando volanesorsena versus placebo.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Medicamento registrado na ANVISA para a indicação específica (SQF geneticamente confirmada + risco elevado de pancreatite + resposta inadequada à dieta), mas sem incorporação ao SUS pela CONITEC nem pela ANS (posição de agosto/2026). A existência de registro ANVISA distingue este caso da casimersena; a baixa certeza das evidências para desfechos clínicos relevantes (pancreatite, eventos adversos) subsiste como fundamento para avaliação judicial.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cdyiduv9mxgwkswmiieqp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e-NatJus — Revisão Sistemática (2/2)</w:t>
                    </w:r>
                  </w:hyperlink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Âmbito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SUS</w:t>
                  </w:r>
                </w:p>
              </w:tc>
            </w:tr>
          </w:tbl>
          <w:p/>
        </w:tc>
      </w:tr>
    </w:tbl>
    <w:p>
      <w:pPr>
        <w:spacing w:after="120"/>
      </w:pPr>
    </w:p>
    <w:p>
      <w:pPr>
        <w:pStyle w:val="Heading1"/>
        <w:pBdr>
          <w:bottom w:val="single" w:color="1F4E79" w:sz="12"/>
        </w:pBdr>
        <w:spacing w:after="100" w:before="200"/>
      </w:pPr>
      <w:r>
        <w:rPr>
          <w:b/>
          <w:bCs/>
          <w:color w:val="1F4E79"/>
          <w:sz w:val="26"/>
          <w:szCs w:val="26"/>
        </w:rPr>
        <w:t xml:space="preserve">4. Legislação e Atos Normativos</w:t>
      </w: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4.1 Legislação Federal e Estadual</w:t>
      </w:r>
      <w:r>
        <w:t xml:space="preserve">  </w:t>
      </w:r>
      <w:r>
        <w:rPr>
          <w:b/>
          <w:bCs/>
          <w:color w:val="1F4E79"/>
          <w:sz w:val="14"/>
          <w:szCs w:val="14"/>
          <w:shd w:fill="D9E2F3" w:color="auto" w:val="clear"/>
        </w:rPr>
        <w:t xml:space="preserve"> SUS </w:t>
      </w: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6B7280"/>
                <w:sz w:val="13"/>
                <w:szCs w:val="13"/>
              </w:rPr>
              <w:t xml:space="preserve">LEGISLAÇÃO FEDERAL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Lei n° 15.493, de 2 de setembro de 2026 — publicada no DOU de 3/09/2026; sancionada sem vetos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Ementa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Dispõe sobre ações para avaliação médica completa e periódica da saúde da mulher no âmbito do Sistema Único de Saúde (SUS) e sobre a conscientização acerca da importância da prevenção de doenças e de agravos à saúde.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Assegura a toda mulher o direito de realizar avaliação médica completa ao menos uma vez ao ano pelos serviços públicos de saúde, com garantia de exames de triagem (hipertensão arterial, diabetes e dislipidemias), exames preventivos, saúde mental e vacinação. Determina ao SUS a estruturação de rotinas assistenciais observando faixa etária, raça e etnia, condição de deficiência, situação socioeconômica e local de residência. Estabelece campanhas de conscientização (art. 4°).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Vigência diferida de 180 dias (entrada em vigor em março de 2027). Cria obrigação de oferta no SUS com prazo definido — parâmetro para demandas judiciais por omissão quando o prazo vencer sem implementação. Campo direto de atuação da Justiça Federal em ações contra entes responsáveis pela atenção primária à saúde.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9oze2azrkethrcvdykaqi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Lei n° 15.493/2026 — Planalto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6B7280"/>
                <w:sz w:val="13"/>
                <w:szCs w:val="13"/>
              </w:rPr>
              <w:t xml:space="preserve">LEGISLAÇÃO FEDERAL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Lei n° 15.492, de 2 de setembro de 2026 — publicada no DOU de 3/09/2026; sancionada sem vetos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Ementa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Institui a Política Nacional de Proteção dos Direitos da Pessoa com Síndrome de Tourette.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Diploma intersetorial (saúde, educação, trabalho, assistência social). Componentes de direito sanitário: art. 3°, III — acesso a ações e serviços de saúde (Lei 8.080/1990), incluindo diagnóstico precoce, atendimento multiprofissional e medicamentos; art. 5° — vedação de impedimento de participação em planos privados de saúde (remissão ao art. 14 da Lei 9.656/1998); art. 4°, parágrafo único — internação conforme Lei 10.216/2001 (reforma psiquiátrica). Reconhece a pessoa com síndrome de Tourette como pessoa com deficiência quando os sintomas comprometam significativamente sua funcionalidade (avaliação biopsicossocial — Lei 13.146/2015).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Vigência imediata. Cria fundamento normativo expresso para demandas por medicamentos e atendimento multiprofissional no SUS e para proteção nos planos privados de saúde. Relevante em ações previdenciárias (BPC/LOAS) quando comprovada deficiência funcional. Competência predominantemente federal.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q2036s01nukazi33w44ls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Lei n° 15.492/2026 — Planalto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4.2 Ministério da Saúde</w:t>
      </w:r>
      <w:r>
        <w:t xml:space="preserve">  </w:t>
      </w:r>
      <w:r>
        <w:rPr>
          <w:b/>
          <w:bCs/>
          <w:color w:val="1F4E79"/>
          <w:sz w:val="14"/>
          <w:szCs w:val="14"/>
          <w:shd w:fill="D9E2F3" w:color="auto" w:val="clear"/>
        </w:rPr>
        <w:t xml:space="preserve"> SUS </w:t>
      </w: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6B7280"/>
                <w:sz w:val="13"/>
                <w:szCs w:val="13"/>
              </w:rPr>
              <w:t xml:space="preserve">PORTARIA CONJUNTA SCTIE/SAES/MS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Portaria Conjunta SCTIE/SAES/MS n° 3, de 5 de agosto de 2026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Ementa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Dispõe sobre a sistemática de negociação nacional para aquisição de medicamentos no âmbito do Componente da Assistência Farmacêutica em Oncologia (AF-Onco).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Estabelece programação anual de medicamentos oncológicos com base em estimativas consolidadas pelas Secretarias Estaduais; reembolso trimestral vinculado à pré-autorização no SIA/SUS; e segregação obrigatória das demandas judiciais da programação assistencial regular.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 segregação de demandas judiciais formaliza parâmetro de reembolso diferenciado para fornecimentos decorrentes de decisão judicial no AF-Onco — relevante em conflitos de competência financeira entre entes nas ações de oncológicos.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fska14ufhmqlke8nddxsk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DOU — Portaria Conjunta SCTIE/SAES/MS n° 3/2026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6B7280"/>
                <w:sz w:val="13"/>
                <w:szCs w:val="13"/>
              </w:rPr>
              <w:t xml:space="preserve">PORTARIA CONJUNTA SAES/SCTIE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Portaria Conjunta SAES/SCTIE n° 68, de 30 de julho de 2026 (publicada no DOU de 10/08/2026)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Ementa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Inclui e altera atributos de procedimentos pertencentes ao Componente Especializado da Assistência Farmacêutica (CEAF) na Tabela de Procedimentos, Medicamentos, Órteses, Próteses e Materiais Especiais do SUS.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Atualização da Tabela de Procedimentos do SUS com efeitos operacionais no SIA/SUS a partir da competência de agosto de 2026; altera o conjunto de medicamentos e procedimentos do CEAF disponíveis para dispensação e faturamento.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Impacto direto na instrução processual de ações por medicamentos do Componente Especializado: a Tabela atualizada é parâmetro para aferição de incorporação e elegibilidade. Geralmente utilizada por réus para arguição de medicamento já disponível no CEAF.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adtyb80pbxfkogibgfktr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DOU — Portaria Conjunta SAES/SCTIE n° 68/2026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6B7280"/>
                <w:sz w:val="13"/>
                <w:szCs w:val="13"/>
              </w:rPr>
              <w:t xml:space="preserve">PORTARIA SAES/MS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Portaria SAES/MS n° 4.695, de 13 de agosto de 2026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Ementa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Inclui procedimentos do rol de Apoio Diagnóstico e Terapêutico por Imagem no Componente Ressarcimento ao SUS do Programa Agora Tem Especialistas.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Os procedimentos incluídos recebem o atributo complementar 065 na Tabela de Procedimentos do SUS e são financiados no tipo de financiamento MAC (Média e Alta Complexidade), acumulados ao teto MAC sem onerá-lo.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Expande o rol de exames ressarcíveis ao SUS pelo setor privado (art. 32 da Lei 9.656/1998) — relevante em ações de ressarcimento ao SUS e de cobertura de exames de imagem na saúde suplementar.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1k9psrd329ckd0de1wb0i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DOU — Portaria SAES/MS n° 4.695/2026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6B7280"/>
                <w:sz w:val="13"/>
                <w:szCs w:val="13"/>
              </w:rPr>
              <w:t xml:space="preserve">PORTARIA GM/MS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Portaria GM/MS n° 12.091, de 11 de agosto de 2026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Ementa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Altera a Portaria de Consolidação GM/MS n° 5, de 28 de setembro de 2017, para dispor sobre o Programa Farmácia Popular do Brasil (PFPB).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Atualiza as regras do Programa Farmácia Popular, que disponibiliza medicamentos e insumos para doenças crônicas (hipertensão, diabetes, asma) em farmácias privadas conveniadas, com ressarcimento federal.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O Farmácia Popular é objeto recorrente de demandas judiciais sobre acesso a insumos (glicosímetros, fraldas), ressarcimento, e cobertura de novas indicações — alteração das regras pode impactar os parâmetros de elegibilidade e os limites do dever estatal.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v7onflaevbrinv8gma361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DOU — Portaria GM/MS n° 12.091/2026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6B7280"/>
                <w:sz w:val="13"/>
                <w:szCs w:val="13"/>
              </w:rPr>
              <w:t xml:space="preserve">PORTARIA GM/MS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Portaria GM/MS n° 12.085, de 17 de agosto de 2026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Ementa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Estabelece critérios de cadastramento no CNES, requisitos mínimos, estrutura, organização e responsabilidades para implementação das Centrais de Diluição de medicamentos de altíssimo custo no âmbito do AF-Onco.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As Centrais de Diluição são pontos de preparo e dispensação de medicamentos oncológicos do AF-Onco. A portaria define estrutura mínima para habilitação, responsabilidades dos estabelecimentos e alterações no Anexo XV da Portaria de Consolidação n° 5.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Complementa a Portaria Conjunta n° 3/2026 (AF-Onco): operacionaliza a estrutura de dispensação dos medicamentos oncológicos de altíssimo custo — relevante para ações que envolvam a efetividade do fornecimento (prazo de 180 dias) e responsabilidade dos entes.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axbqsz47etogrifw4g8td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DOU — Portaria GM/MS n° 12.085/2026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4.3 Portarias SCTIE/MS — CONITEC</w:t>
      </w:r>
      <w:r>
        <w:t xml:space="preserve">  </w:t>
      </w:r>
      <w:r>
        <w:rPr>
          <w:b/>
          <w:bCs/>
          <w:color w:val="1F4E79"/>
          <w:sz w:val="14"/>
          <w:szCs w:val="14"/>
          <w:shd w:fill="D9E2F3" w:color="auto" w:val="clear"/>
        </w:rPr>
        <w:t xml:space="preserve"> SUS </w:t>
      </w:r>
    </w:p>
    <w:tbl>
      <w:tblPr>
        <w:tblW w:type="dxa" w:w="10080"/>
        <w:tblBorders>
          <w:top w:val="single" w:color="D7DDE8" w:sz="4"/>
          <w:left w:val="single" w:color="D7DDE8" w:sz="4"/>
          <w:bottom w:val="single" w:color="D7DDE8" w:sz="4"/>
          <w:right w:val="single" w:color="D7DDE8" w:sz="4"/>
          <w:insideH w:val="single" w:color="D7DDE8" w:sz="4"/>
          <w:insideV w:val="single" w:color="D7DDE8" w:sz="4"/>
        </w:tblBorders>
      </w:tblPr>
      <w:tblGrid>
        <w:gridCol w:w="2520"/>
        <w:gridCol w:w="2520"/>
        <w:gridCol w:w="2520"/>
        <w:gridCol w:w="2520"/>
      </w:tblGrid>
      <w:tr>
        <w:trPr>
          <w:tblHeader/>
        </w:trPr>
        <w:tc>
          <w:tcPr>
            <w:tcW w:type="dxa" w:w="2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Ato / Data</w:t>
            </w:r>
          </w:p>
        </w:tc>
        <w:tc>
          <w:tcPr>
            <w:tcW w:type="dxa" w:w="2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Tecnologia</w:t>
            </w:r>
          </w:p>
        </w:tc>
        <w:tc>
          <w:tcPr>
            <w:tcW w:type="dxa" w:w="2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Indicação</w:t>
            </w:r>
          </w:p>
        </w:tc>
        <w:tc>
          <w:tcPr>
            <w:tcW w:type="dxa" w:w="2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Decisão</w:t>
            </w:r>
          </w:p>
        </w:tc>
      </w:tr>
      <w:tr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djyogkkcqjrpfqzmkh47d">
              <w:r>
                <w:rPr>
                  <w:color w:val="1F4E79"/>
                  <w:sz w:val="16"/>
                  <w:szCs w:val="16"/>
                  <w:u w:val="single"/>
                </w:rPr>
                <w:t xml:space="preserve">SAES/SCTIE n° 51</w:t>
              </w:r>
            </w:hyperlink>
            <w:r>
              <w:rPr>
                <w:color w:val="6B7280"/>
                <w:sz w:val="15"/>
                <w:szCs w:val="15"/>
              </w:rPr>
              <w:t xml:space="preserve"> DOU 29/07/2026; anexo alterado em 19/08/2026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PCDT — Doença de Crohn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Doença de Crohn (atualização dos critérios diagnósticos e terapêuticos; anexo alterado em 19/08/2026)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APROVA PCDT</w:t>
            </w:r>
          </w:p>
        </w:tc>
      </w:tr>
      <w:tr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tdq1xqopjsghepqj51qhy">
              <w:r>
                <w:rPr>
                  <w:color w:val="1F4E79"/>
                  <w:sz w:val="16"/>
                  <w:szCs w:val="16"/>
                  <w:u w:val="single"/>
                </w:rPr>
                <w:t xml:space="preserve">SAES/SAPS/SCTIE n° 54</w:t>
              </w:r>
            </w:hyperlink>
            <w:r>
              <w:rPr>
                <w:color w:val="6B7280"/>
                <w:sz w:val="15"/>
                <w:szCs w:val="15"/>
              </w:rPr>
              <w:t xml:space="preserve"> DOU 29/07/2026; atualizado em 19/08/2026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PCDT — Endometriose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Endometriose (diagnóstico, critérios de inclusão/exclusão e tratamento; atualizado em 19/08/2026)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APROVA PCDT</w:t>
            </w:r>
          </w:p>
        </w:tc>
      </w:tr>
      <w:tr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di9wmbd_zoccwdrprwqt5">
              <w:r>
                <w:rPr>
                  <w:color w:val="1F4E79"/>
                  <w:sz w:val="16"/>
                  <w:szCs w:val="16"/>
                  <w:u w:val="single"/>
                </w:rPr>
                <w:t xml:space="preserve">SAES/SCTIE n° 70</w:t>
              </w:r>
            </w:hyperlink>
            <w:r>
              <w:rPr>
                <w:color w:val="6B7280"/>
                <w:sz w:val="15"/>
                <w:szCs w:val="15"/>
              </w:rPr>
              <w:t xml:space="preserve"> 05/08/2026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PCDT — Hipoparatireoidismo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Hipoparatireoidismo (revoga Portaria SAS/MS n° 450/2016)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APROVA PCDT</w:t>
            </w:r>
          </w:p>
        </w:tc>
      </w:tr>
      <w:tr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es722yak4mvxg_2kpy75k">
              <w:r>
                <w:rPr>
                  <w:color w:val="1F4E79"/>
                  <w:sz w:val="16"/>
                  <w:szCs w:val="16"/>
                  <w:u w:val="single"/>
                </w:rPr>
                <w:t xml:space="preserve">SCTIE/MS n° 53</w:t>
              </w:r>
            </w:hyperlink>
            <w:r>
              <w:rPr>
                <w:color w:val="6B7280"/>
                <w:sz w:val="15"/>
                <w:szCs w:val="15"/>
              </w:rPr>
              <w:t xml:space="preserve"> 14/08/2026 (DOU 18/08)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Ácido acetilsalicílico (AAS)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Prevenção de pré-eclâmpsia e eclâmpsia em gestantes de alto risco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INCORPORA</w:t>
            </w:r>
          </w:p>
        </w:tc>
      </w:tr>
      <w:tr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i4znbharjnhlmmuxlwwxa">
              <w:r>
                <w:rPr>
                  <w:color w:val="1F4E79"/>
                  <w:sz w:val="16"/>
                  <w:szCs w:val="16"/>
                  <w:u w:val="single"/>
                </w:rPr>
                <w:t xml:space="preserve">SCTIE/MS n° 55</w:t>
              </w:r>
            </w:hyperlink>
            <w:r>
              <w:rPr>
                <w:color w:val="6B7280"/>
                <w:sz w:val="15"/>
                <w:szCs w:val="15"/>
              </w:rPr>
              <w:t xml:space="preserve"> 01/09/2026 (DOU 03/09)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Iodeto de Potássio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Emergência Nuclear (Protocolo de Uso)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APROVA PROTOCOLO</w:t>
            </w:r>
          </w:p>
        </w:tc>
      </w:tr>
    </w:tbl>
    <w:p>
      <w:pPr>
        <w:spacing w:after="120"/>
      </w:pP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4.4 ANS</w:t>
      </w:r>
      <w:r>
        <w:t xml:space="preserve">  </w:t>
      </w:r>
      <w:r>
        <w:rPr>
          <w:b/>
          <w:bCs/>
          <w:color w:val="FFFFFF"/>
          <w:sz w:val="14"/>
          <w:szCs w:val="14"/>
          <w:shd w:fill="1F3864" w:color="auto" w:val="clear"/>
        </w:rPr>
        <w:t xml:space="preserve"> SAÚDE SUPLEMENTAR </w:t>
      </w:r>
    </w:p>
    <w:tbl>
      <w:tblPr>
        <w:tblW w:type="dxa" w:w="10080"/>
        <w:tblBorders>
          <w:top w:val="single" w:color="BF8F00" w:sz="8"/>
          <w:left w:val="single" w:color="BF8F00" w:sz="8"/>
          <w:bottom w:val="single" w:color="BF8F00" w:sz="8"/>
          <w:right w:val="single" w:color="BF8F00" w:sz="8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FF2CB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b/>
                <w:bCs/>
                <w:color w:val="BF8F00"/>
                <w:sz w:val="15"/>
                <w:szCs w:val="15"/>
              </w:rPr>
              <w:t xml:space="preserve">NOTA DE AUSÊNCIA — ANS</w:t>
            </w:r>
          </w:p>
          <w:p>
            <w:pPr>
              <w:jc w:val="both"/>
            </w:pPr>
            <w:r>
              <w:rPr>
                <w:color w:val="1F3864"/>
                <w:sz w:val="18"/>
                <w:szCs w:val="18"/>
              </w:rPr>
              <w:t xml:space="preserve">Não foram publicadas, no período de referência (05/08 a 03/09/2026), Resoluções Normativas da ANS com conteúdo aplicável ao universo de operadoras ou beneficiários (rol de procedimentos, reajuste, prazos de atendimento, regras de cobertura). A última RN de impacto normativo geral publicada foi a RN n° 674, de 10 de junho de 2026. A subseção é mantida para preservar a comparabilidade entre as edições.</w:t>
            </w:r>
          </w:p>
        </w:tc>
      </w:tr>
    </w:tbl>
    <w:p>
      <w:pPr>
        <w:spacing w:after="100"/>
      </w:pPr>
    </w:p>
    <w:tbl>
      <w:tblPr>
        <w:tblW w:type="dxa" w:w="10080"/>
        <w:tblBorders>
          <w:top w:val="single" w:color="BF8F00" w:sz="8"/>
          <w:left w:val="single" w:color="BF8F00" w:sz="8"/>
          <w:bottom w:val="single" w:color="BF8F00" w:sz="8"/>
          <w:right w:val="single" w:color="BF8F00" w:sz="8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FF2CB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b/>
                <w:bCs/>
                <w:color w:val="BF8F00"/>
                <w:sz w:val="15"/>
                <w:szCs w:val="15"/>
              </w:rPr>
              <w:t xml:space="preserve">NOTA — 54ª REUNIÃO DA COSAÚDE (25/08/2026)</w:t>
            </w:r>
          </w:p>
          <w:p>
            <w:pPr>
              <w:jc w:val="both"/>
            </w:pPr>
            <w:r>
              <w:rPr>
                <w:color w:val="1F3864"/>
                <w:sz w:val="18"/>
                <w:szCs w:val="18"/>
              </w:rPr>
              <w:t xml:space="preserve">Em 25/08/2026, a ANS promoveu a 54ª reunião técnica da Cosaúde. Três tecnologias foram objeto de discussão preliminar: teste de 21 genes para câncer de mama (estágios I–IIIA, RH+/HER2−); dispositivo de modulação da contratilidade cardíaca (insuficiência cardíaca crônica refratária, NYHA III–IV); alteração da DUT 110.39 (Análise Molecular de DNA — deficiência intelectual de causa indeterminada). As três seguem para participação social antes da aprovação pela DICOL. A DUT 52 — Mamografia Digital foi aprovada pela Comissão e submetida à DICOL para aprovação final. Repercussão: o teste de 21 genes é objeto crescente de demandas judiciais de cobertura na saúde suplementar. </w:t>
            </w:r>
            <w:hyperlink w:history="1" r:id="rIdfzit0ilbfrsqn2o9zqdzf">
              <w:r>
                <w:rPr>
                  <w:color w:val="1F4E79"/>
                  <w:sz w:val="18"/>
                  <w:szCs w:val="18"/>
                  <w:u w:val="single"/>
                </w:rPr>
                <w:t xml:space="preserve">ANS — 54ª Cosaúde</w:t>
              </w:r>
            </w:hyperlink>
          </w:p>
        </w:tc>
      </w:tr>
    </w:tbl>
    <w:p>
      <w:pPr>
        <w:spacing w:after="100"/>
      </w:pPr>
    </w:p>
    <w:p>
      <w:pPr>
        <w:pStyle w:val="Heading1"/>
        <w:pBdr>
          <w:bottom w:val="single" w:color="1F4E79" w:sz="12"/>
        </w:pBdr>
        <w:spacing w:after="100" w:before="200"/>
      </w:pPr>
      <w:r>
        <w:rPr>
          <w:b/>
          <w:bCs/>
          <w:color w:val="1F4E79"/>
          <w:sz w:val="26"/>
          <w:szCs w:val="26"/>
        </w:rPr>
        <w:t xml:space="preserve">5. Iniciativas Institucionais e Boas Práticas</w:t>
      </w: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5.1 STF e CNJ</w:t>
      </w:r>
    </w:p>
    <w:tbl>
      <w:tblPr>
        <w:tblW w:type="dxa" w:w="10080"/>
        <w:tblBorders>
          <w:top w:val="single" w:color="BF8F00" w:sz="8"/>
          <w:left w:val="single" w:color="BF8F00" w:sz="8"/>
          <w:bottom w:val="single" w:color="BF8F00" w:sz="8"/>
          <w:right w:val="single" w:color="BF8F00" w:sz="8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FF2CB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b/>
                <w:bCs/>
                <w:color w:val="BF8F00"/>
                <w:sz w:val="15"/>
                <w:szCs w:val="15"/>
              </w:rPr>
              <w:t xml:space="preserve">NOTA — STF E CNJ</w:t>
            </w:r>
          </w:p>
          <w:p>
            <w:pPr>
              <w:jc w:val="both"/>
            </w:pPr>
            <w:r>
              <w:rPr>
                <w:color w:val="1F3864"/>
                <w:sz w:val="18"/>
                <w:szCs w:val="18"/>
              </w:rPr>
              <w:t xml:space="preserve">Não foram identificadas, no período de referência, iniciativas do STF ou do CNJ com interface direta com o objeto deste Monitoramento.</w:t>
            </w:r>
          </w:p>
        </w:tc>
      </w:tr>
    </w:tbl>
    <w:p>
      <w:pPr>
        <w:spacing w:after="10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3864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FFFFFF"/>
                <w:sz w:val="13"/>
                <w:szCs w:val="13"/>
                <w:shd w:fill="1F3864" w:color="auto" w:val="clear"/>
              </w:rPr>
              <w:t xml:space="preserve"> SAÚDE SUPLEMENTAR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INICIATIVA — ANS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Seminário FGV — Integração SUS–Saúde Suplementar (25/08/2026)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Evento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Seminário “Gestão da Saúde em Transformação” — FGV, Brasília, 25/08/2026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O diretor-presidente da ANS, Wadih Damous, abordou integração SUS–saúde suplementar: 53,1 milhões de beneficiários; R$ 12,98 bi em cobranças históricas de ressarcimento (R$ 6,06 bi recebidos); Programa Agora Tem Especialistas; Agenda Regulatória ANS 2026-2028 (parâmetros de custo-efetividade — previsão Q4/2028); judicialização como reforço da necessidade de regulação baseada em evidências.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Ressarcimento ao SUS (art. 32, Lei 9.656/1998) e integração SUS–suplementar são relevantes para a Justiça Federal. A Agenda Regulatória 2026-2028 sinaliza definição de parâmetros de custo-efetividade para planos de saúde no período.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3864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ohxmgdel6i7eisdwxnmpw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ANS — Seminário FGV (25/08/2026)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5.2 TRFs e TJs</w:t>
      </w:r>
    </w:p>
    <w:p>
      <w:pPr>
        <w:spacing w:after="100"/>
      </w:pPr>
      <w:r>
        <w:rPr>
          <w:i/>
          <w:iCs/>
          <w:color w:val="6B7280"/>
          <w:sz w:val="17"/>
          <w:szCs w:val="17"/>
        </w:rPr>
        <w:t xml:space="preserve">A curadoria desta seção é realizada mediante contribuição. Encaminhe julgados e iniciativas ao Grupo de Trabalho em Direito da Saúde — TRF3.</w:t>
      </w:r>
    </w:p>
    <w:p>
      <w:pPr>
        <w:pStyle w:val="Heading2"/>
        <w:spacing w:after="80" w:before="140"/>
      </w:pPr>
      <w:r>
        <w:rPr>
          <w:b/>
          <w:bCs/>
          <w:color w:val="1F3864"/>
          <w:sz w:val="22"/>
          <w:szCs w:val="22"/>
        </w:rPr>
        <w:t xml:space="preserve">5.3 CONASS · Comitês de Saúde · Fonajus</w:t>
      </w: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1F4E79"/>
                <w:sz w:val="13"/>
                <w:szCs w:val="13"/>
                <w:shd w:fill="D9E2F3" w:color="auto" w:val="clear"/>
              </w:rPr>
              <w:t xml:space="preserve"> SUS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INICIATIVA — FONAJUS/CNJ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19º Fonajus Itinerante — Porto Velho/RO (agosto/2026)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Evento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19ª edição do Fórum Nacional do Judiciário para a Saúde (Fonajus) Itinerante, em Porto Velho/RO, com participação de CNJ, STJ e CFM, dedicada à transição para uma governança judicial baseada em evidências científicas e integração tecnológica.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Diagnóstico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O CNJ (Cons. Daiane Nogueira de Lira) reportou a primeira redução (6%) na judicialização da saúde pública desde o início do monitoramento nacional. Em Rondônia, 4.571 processos ativos, com predominância de demandas de acesso à rede (consultas especializadas e cirurgias), mais de 80% ajuizadas pela Defensoria Pública.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Medicina baseada em evidências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Reforço da oitiva prévia do NatJus (STF, Súmulas Vinculantes 60 e 61; Temas 6 e 1.234) e da hierarquia da "pirâmide de evidências". Destaque para o e-NatJus (mais de 500 mil notas técnicas) e o NatJus Doenças Raras (parceria com o Hospital de Clínicas de Porto Alegre).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Conciliação e tecnologia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Modelo do TJMS ('Sejusque Saúde' e 'TJMS Mobile', resolução em até 10 dias) apresentado como referência de desjudicialização; metas CNJ de conciliação (4% na saúde pública; 5% na saúde suplementar). Apresentada a Plataforma Nacional de Medicamentos (Cássio Pires, TRF4): prescrição autenticada por certificado digital do CFM, trâmite administrativo prévio, triagem judicial automática, integração da tabela CMED e cálculo de ICMS para definição de competência.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Lei de Relevância da Questão Federal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Com vigência prevista para setembro de 2026, estratifica as causas em três bandas por custo: até 210 salários mínimos (Justiça Estadual, sem presunção de relevância); 210 a 500 salários mínimos (Justiça Federal, sem presunção); acima de 500 salários mínimos (~R$ 760 mil — relevância presumida, trâmite ao STJ). O STJ deixa de rever fatos e provas, exigindo transcendência social para admissibilidade.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Alerta técnico — Terapias de TEA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Alerta (Artur Ataíde Garcia, ANIP) contra a prescrição indiscriminada de protocolos intensivos como o método ABA de 40 horas semanais sem fundamentação científica robusta, e contra o charlatanismo (ex.: "solução mineral milagrosa" / dióxido de cloro). Defesa da diretriz neuroafirmativa e de terapias multiprofissionais. Interface direta com o Tema 1.463/STJ (musicoterapia/TEA), noticiado no item 2.2 desta edição.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Relevante para toda a Justiça Federal: a Lei de Relevância da Questão Federal redefine o filtro recursal do STJ e torna definitivas as decisões de primeira instância na maioria das demandas de saúde, elevando a exigência de rigor na instrução processual e de fundamentação em evidências técnicas (NatJus). O diagnóstico de queda da judicialização e os modelos de conciliação sinalizam tendência de racionalização do acervo.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ob3urmjjmcgh-0nbbrftm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Transmissão — 19º Fonajus Itinerante (YouTube)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1F4E79"/>
                <w:sz w:val="13"/>
                <w:szCs w:val="13"/>
                <w:shd w:fill="D9E2F3" w:color="auto" w:val="clear"/>
              </w:rPr>
              <w:t xml:space="preserve"> SUS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INICIATIVA — INSTITUTO CONSENSO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Encontro Técnico "10 Anos da Rede NatJus" — Brasília (25/08/2026)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Evento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Encontro técnico promovido pelo Instituto Consenso, em Brasília, para debater a primeira década dos Núcleos de Apoio Técnico do Judiciário (NatJus) e os caminhos de seu fortalecimento. Reuniu magistrados, o CNJ, o Ministério da Saúde, a ANS, pesquisadores e especialistas, com organização da coordenadora Thaissa Matos.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Panorama da Rede NatJus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 supervisora do Fonajus e conselheira do CNJ, Daiane Nogueira de Lira, destacou que a rede está presente nas 27 unidades da Federação e já havia emitido, até agosto de 2026, mais de 100 mil notas técnicas somente naquele ano. Foram reportados cerca de 352 mil novos processos de direito à saúde no país até agosto de 2026 (saúde pública e suplementar), com tempo médio de resposta do NatJus Nacional de cerca de três dias e meta de até 24 horas para casos urgentes.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e-NatJus 4.0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 juíza federal Luciana da Veiga Oliveira (TRF4, auxiliar da Presidência do CNJ) apresentou a nova etapa do sistema, que prevê maior interoperabilidade com os sistemas processuais eletrônicos, integração com outras bases técnicas e incorporação de ferramentas de inteligência artificial.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Pesquisa e variabilidade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Professores da FGV Direito SP e do Insper apresentaram estudo sobre variações nas conclusões das notas técnicas dos núcleos, que persistiram mesmo após o controle de características observáveis dos pedidos, tratadas como ponto de partida para diagnóstico e aprendizado, sem hierarquização entre tribunais ou núcleos.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IA e integração de dados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Apresentados o EvidênciaJud (IA em fase de testes, parceria CNJ–USP–InovaHC, para sintetizar evidências do e-NatJus e da CONITEC) e a Plataforma Nacional de Saúde (juiz federal Diego Viegas Véras, TRF4/auxiliar STF), prevista no acordo interfederativo homologado pelo STF no Tema 1.234, para centralizar pedidos de medicamentos no SUS e apoiar a definição de responsabilidades entre os entes, articulando-se com o Tema 6 nos casos de medicamentos não incorporados.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Impacto financeiro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O Ministério da Saúde informou que o cumprimento de decisões judiciais individuais representou impacto de cerca de R$ 2 bilhões para a pasta em 2025.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Carta Propositiva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Ao final, o Instituto apresentou carta com sugestões para aprimorar as notas técnicas, entre elas a distinção entre ausência/insuficiência de evidência e evidência de ausência de benefício; o uso do referencial GRADE para explicitar a certeza das evidências; o aprimoramento de campos sobre saúde suplementar; e a supervisão humana sobre ferramentas de inteligência artificial.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Relevante para a Justiça Federal por sistematizar o estado atual da Rede NatJus — infraestrutura técnica central na instrução de demandas de saúde — e sinalizar sua evolução (e-NatJus 4.0, IA, integração com a Plataforma Nacional de Saúde do Tema 1.234/STF). A variabilidade das notas técnicas e as propostas de padronização metodológica (GRADE) são de interesse direto para a fundamentação de decisões.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zzmt3xtpgqyber4b-gp2t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Instituto Consenso — Encontro Técnico NatJus (25/08/2026)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tbl>
      <w:tblPr>
        <w:tblW w:type="dxa" w:w="10080"/>
        <w:tblBorders>
          <w:top w:val="single" w:color="D7DDE8" w:sz="4"/>
          <w:left w:val="none" w:color="auto" w:sz="0"/>
          <w:bottom w:val="single" w:color="D7DDE8" w:sz="4"/>
          <w:right w:val="single" w:color="D7DDE8" w:sz="4"/>
          <w:insideH w:val="none" w:color="auto" w:sz="0"/>
          <w:insideV w:val="none" w:color="auto" w:sz="0"/>
        </w:tblBorders>
      </w:tblPr>
      <w:tblGrid>
        <w:gridCol w:w="10080"/>
      </w:tblGrid>
      <w:tr>
        <w:tc>
          <w:tcPr>
            <w:tcW w:type="dxa" w:w="10080"/>
            <w:tcBorders>
              <w:top w:val="none" w:color="auto" w:sz="0"/>
              <w:left w:val="single" w:color="1F4E79" w:sz="24"/>
              <w:bottom w:val="single" w:color="D7DDE8" w:sz="4"/>
              <w:right w:val="none" w:color="auto" w:sz="0"/>
            </w:tcBorders>
            <w:shd w:fill="F6F9FD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b/>
                <w:bCs/>
                <w:color w:val="1F4E79"/>
                <w:sz w:val="13"/>
                <w:szCs w:val="13"/>
                <w:shd w:fill="D9E2F3" w:color="auto" w:val="clear"/>
              </w:rPr>
              <w:t xml:space="preserve"> SUS </w:t>
            </w:r>
            <w:r>
              <w:rPr>
                <w:sz w:val="13"/>
                <w:szCs w:val="13"/>
              </w:rPr>
              <w:t xml:space="preserve">  </w:t>
            </w:r>
            <w:r>
              <w:rPr>
                <w:b/>
                <w:bCs/>
                <w:color w:val="6B7280"/>
                <w:sz w:val="13"/>
                <w:szCs w:val="13"/>
              </w:rPr>
              <w:t xml:space="preserve">INICIATIVA — CONASS</w:t>
            </w:r>
          </w:p>
          <w:p>
            <w:pPr>
              <w:spacing w:after="6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Oficina CONASS — Implementação da PNPCC e AF-Onco (agosto/2026)</w:t>
            </w:r>
          </w:p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Evento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Oficina de Implementação da PNPCC — CONASS, Brasília, agosto de 2026 (&gt;160 participantes, presencial e remoto)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Conteúdo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Quatro módulos: APS e pontos de atenção oncológica; planejamento, regionalização e governança das SES; Assistência Farmacêutica Oncológica — AF-Onco (Centrais de Diluição, APAC Onco Exclusiva, autorização prévia); navegação do cuidado, comunicação e interoperabilidade de sistemas de informação.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Repercussão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r>
                    <w:rPr>
                      <w:color w:val="1F2733"/>
                      <w:sz w:val="18"/>
                      <w:szCs w:val="18"/>
                    </w:rPr>
                    <w:t xml:space="preserve">A implementação da AF-Onco e das Centrais de Diluição nos estados é relevante para aferir adimplemento dos entes com os prazos de 180 dias das portarias de incorporação e a estruturação das Centrais (Portaria GM/MS n° 12.085/2026).</w:t>
                  </w:r>
                </w:p>
              </w:tc>
            </w:tr>
          </w:tbl>
          <w:p/>
        </w:tc>
      </w:tr>
      <w:tr>
        <w:tc>
          <w:tcPr>
            <w:tcW w:type="dxa" w:w="10080"/>
            <w:tcBorders>
              <w:top w:val="single" w:color="D7DDE8" w:sz="4"/>
              <w:left w:val="single" w:color="1F4E79" w:sz="24"/>
              <w:bottom w:val="none" w:color="auto" w:sz="0"/>
              <w:right w:val="none" w:color="auto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</w:tcPr>
          <w:tbl>
            <w:tblPr>
              <w:tblW w:type="dxa" w:w="1008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</w:tblPr>
            <w:tblGrid>
              <w:gridCol w:w="2200"/>
              <w:gridCol w:w="7880"/>
            </w:tblGrid>
            <w:tr>
              <w:tc>
                <w:tcPr>
                  <w:tcW w:type="dxa" w:w="220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r>
                    <w:rPr>
                      <w:b/>
                      <w:bCs/>
                      <w:color w:val="1F4E79"/>
                      <w:sz w:val="17"/>
                      <w:szCs w:val="17"/>
                    </w:rPr>
                    <w:t xml:space="preserve">Link Oficial</w:t>
                  </w:r>
                </w:p>
              </w:tc>
              <w:tc>
                <w:tcPr>
                  <w:tcW w:type="dxa" w:w="7880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20"/>
                    <w:left w:type="dxa" w:w="40"/>
                    <w:bottom w:type="dxa" w:w="20"/>
                    <w:right w:type="dxa" w:w="40"/>
                  </w:tcMar>
                </w:tcPr>
                <w:p>
                  <w:pPr>
                    <w:spacing w:after="20"/>
                    <w:jc w:val="both"/>
                  </w:pPr>
                  <w:hyperlink w:history="1" r:id="rIdmnrzqueb2fwqer4zknm4y">
                    <w:r>
                      <w:rPr>
                        <w:color w:val="1F4E79"/>
                        <w:sz w:val="18"/>
                        <w:szCs w:val="18"/>
                        <w:u w:val="single"/>
                      </w:rPr>
                      <w:t xml:space="preserve">CONASS — Oficina PNPCC (agosto/2026)</w:t>
                    </w:r>
                  </w:hyperlink>
                </w:p>
              </w:tc>
            </w:tr>
          </w:tbl>
          <w:p/>
        </w:tc>
      </w:tr>
    </w:tbl>
    <w:p>
      <w:pPr>
        <w:spacing w:after="120"/>
      </w:pPr>
    </w:p>
    <w:p>
      <w:pPr>
        <w:pStyle w:val="Heading1"/>
        <w:pBdr>
          <w:bottom w:val="single" w:color="1F4E79" w:sz="12"/>
        </w:pBdr>
        <w:spacing w:after="100" w:before="200"/>
      </w:pPr>
      <w:r>
        <w:rPr>
          <w:b/>
          <w:bCs/>
          <w:color w:val="1F4E79"/>
          <w:sz w:val="26"/>
          <w:szCs w:val="26"/>
        </w:rPr>
        <w:t xml:space="preserve">6. ANVISA — Novos Registros e Indicações</w:t>
      </w:r>
    </w:p>
    <w:tbl>
      <w:tblPr>
        <w:tblW w:type="dxa" w:w="10080"/>
        <w:tblBorders>
          <w:top w:val="single" w:color="BF8F00" w:sz="8"/>
          <w:left w:val="single" w:color="BF8F00" w:sz="8"/>
          <w:bottom w:val="single" w:color="BF8F00" w:sz="8"/>
          <w:right w:val="single" w:color="BF8F00" w:sz="8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FF2CB" w:color="auto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pPr>
              <w:spacing w:after="40"/>
            </w:pPr>
            <w:r>
              <w:rPr>
                <w:b/>
                <w:bCs/>
                <w:color w:val="BF8F00"/>
                <w:sz w:val="15"/>
                <w:szCs w:val="15"/>
              </w:rPr>
              <w:t xml:space="preserve">NOTA — CANCELAMENTO DE REGISTRO (24/08/2026)</w:t>
            </w:r>
          </w:p>
          <w:p>
            <w:pPr>
              <w:jc w:val="both"/>
            </w:pPr>
            <w:r>
              <w:rPr>
                <w:color w:val="1F3864"/>
                <w:sz w:val="18"/>
                <w:szCs w:val="18"/>
              </w:rPr>
              <w:t xml:space="preserve">Em 24/08/2026, foi publicado o cancelamento do registro condicional do Elevidys® (delandistrogeno moxeparvoveque — terapia gênica para DMD), a pedido da Roche. O medicamento obteve registro condicional em dezembro de 2024 e teve a comercialização suspensa em julho de 2025. O cancelamento decorre da insuficiência dos dados disponíveis para manutenção do registro condicional. A Anvisa mantém obrigações de monitoramento para pacientes previamente expostos. Repercussão: pacientes com liminares vigentes para o produto enfrentam potencial descontinuidade; a situação inverte a aplicação do Tema 6/STF (produto que perde o registro após liminares concedidas). </w:t>
            </w:r>
            <w:hyperlink w:history="1" r:id="rIdes7vfpaqzjjbrjedds55k">
              <w:r>
                <w:rPr>
                  <w:color w:val="1F4E79"/>
                  <w:sz w:val="18"/>
                  <w:szCs w:val="18"/>
                  <w:u w:val="single"/>
                </w:rPr>
                <w:t xml:space="preserve">ANVISA — Cancelamento Elevidys®</w:t>
              </w:r>
            </w:hyperlink>
          </w:p>
        </w:tc>
      </w:tr>
    </w:tbl>
    <w:p>
      <w:pPr>
        <w:spacing w:after="100"/>
      </w:pPr>
    </w:p>
    <w:tbl>
      <w:tblPr>
        <w:tblW w:type="dxa" w:w="10080"/>
        <w:tblBorders>
          <w:top w:val="single" w:color="D7DDE8" w:sz="4"/>
          <w:left w:val="single" w:color="D7DDE8" w:sz="4"/>
          <w:bottom w:val="single" w:color="D7DDE8" w:sz="4"/>
          <w:right w:val="single" w:color="D7DDE8" w:sz="4"/>
          <w:insideH w:val="single" w:color="D7DDE8" w:sz="4"/>
          <w:insideV w:val="single" w:color="D7DDE8" w:sz="4"/>
        </w:tblBorders>
      </w:tblPr>
      <w:tblGrid>
        <w:gridCol w:w="2520"/>
        <w:gridCol w:w="2520"/>
        <w:gridCol w:w="2520"/>
        <w:gridCol w:w="2520"/>
      </w:tblGrid>
      <w:tr>
        <w:trPr>
          <w:tblHeader/>
        </w:trPr>
        <w:tc>
          <w:tcPr>
            <w:tcW w:type="dxa" w:w="2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Medicamento</w:t>
            </w:r>
          </w:p>
        </w:tc>
        <w:tc>
          <w:tcPr>
            <w:tcW w:type="dxa" w:w="2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Princípio ativo</w:t>
            </w:r>
          </w:p>
        </w:tc>
        <w:tc>
          <w:tcPr>
            <w:tcW w:type="dxa" w:w="2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Indicação</w:t>
            </w:r>
          </w:p>
        </w:tc>
        <w:tc>
          <w:tcPr>
            <w:tcW w:type="dxa" w:w="2520"/>
            <w:shd w:fill="1F3864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  <w:color w:val="FFFFFF"/>
                <w:sz w:val="17"/>
                <w:szCs w:val="17"/>
              </w:rPr>
              <w:t xml:space="preserve">Situação SUS/ANS</w:t>
            </w:r>
          </w:p>
        </w:tc>
      </w:tr>
      <w:tr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e5wgoldar-a-tzsl8bhaq">
              <w:r>
                <w:rPr>
                  <w:color w:val="1F4E79"/>
                  <w:sz w:val="16"/>
                  <w:szCs w:val="16"/>
                  <w:u w:val="single"/>
                </w:rPr>
                <w:t xml:space="preserve">Duvyzat® (13/08/2026)</w:t>
              </w:r>
            </w:hyperlink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Givinostate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Distrofia muscular de Duchenne (DMD) — crianças ≥ 6 anos, uso concomitante com corticosteroides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Registrado na ANVISA com Termo de Compromisso (aprovação condicionada a estudos continuados). Sem CONITEC. Sem Rol ANS. Doença rara (~700 casos/ano); primeira tecnologia aprovada para esta indicação no Brasil.</w:t>
            </w:r>
          </w:p>
        </w:tc>
      </w:tr>
      <w:tr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dk1fvu_pbphy0r1-srftj">
              <w:r>
                <w:rPr>
                  <w:color w:val="1F4E79"/>
                  <w:sz w:val="16"/>
                  <w:szCs w:val="16"/>
                  <w:u w:val="single"/>
                </w:rPr>
                <w:t xml:space="preserve">Imaavy® (25/08/2026)</w:t>
              </w:r>
            </w:hyperlink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Nipocalimabe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Anemia Hemolítica Autoimune por Anticorpos Quentes (AHAI-Q) — adultos e adolescentes ≥ 12 anos (nova indicação)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Expansão de registro existente. Primeiro com indicação específica para AHAI-Q no Brasil. Registrado na ANVISA. Sem avaliação CONITEC. Sem Rol ANS. Sujeito ao Tema 6/STF em demandas ao SUS.</w:t>
            </w:r>
          </w:p>
        </w:tc>
      </w:tr>
      <w:tr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j57pmiyhna_jtf0fh3aiy">
              <w:r>
                <w:rPr>
                  <w:color w:val="1F4E79"/>
                  <w:sz w:val="16"/>
                  <w:szCs w:val="16"/>
                  <w:u w:val="single"/>
                </w:rPr>
                <w:t xml:space="preserve">Vanrafia® (31/08/2026)</w:t>
              </w:r>
            </w:hyperlink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Cloridrato de atrasentana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Nefropatia primária por imunoglobulina A (IgAN) — adultos com risco de progressão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Registrado na ANVISA. Sem avaliação CONITEC. Sem Rol ANS. Sujeito ao Tema 6/STF em demandas ao SUS.</w:t>
            </w:r>
          </w:p>
        </w:tc>
      </w:tr>
      <w:tr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xqt_cmwkfp4w9f27dvxqg">
              <w:r>
                <w:rPr>
                  <w:color w:val="1F4E79"/>
                  <w:sz w:val="16"/>
                  <w:szCs w:val="16"/>
                  <w:u w:val="single"/>
                </w:rPr>
                <w:t xml:space="preserve">Fruzaqla® (31/08/2026)</w:t>
              </w:r>
            </w:hyperlink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Fruquintinibe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Câncer colorretal metastático (CCRm) — adultos previamente tratados com fluoropirimidina, oxaliplatina, irinotecano, anti-VEGF e, se aplicável, anti-EGFR</w:t>
            </w:r>
          </w:p>
        </w:tc>
        <w:tc>
          <w:tcPr>
            <w:tcW w:type="dxa" w:w="2520"/>
            <w:shd w:fill="FAFBFE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Registrado na ANVISA. Sem avaliação CONITEC. Sem Rol ANS. Sujeito ao Tema 6/STF em demandas ao SUS.</w:t>
            </w:r>
          </w:p>
        </w:tc>
      </w:tr>
      <w:tr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hyperlink w:history="1" r:id="rIdrekw-zhluzp_rmq5z2ky4">
              <w:r>
                <w:rPr>
                  <w:color w:val="1F4E79"/>
                  <w:sz w:val="16"/>
                  <w:szCs w:val="16"/>
                  <w:u w:val="single"/>
                </w:rPr>
                <w:t xml:space="preserve">Lunsumio® SC (ago/2026)</w:t>
              </w:r>
            </w:hyperlink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Mosunetuzumabe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Linfoma folicular recidivado ou refratário após ≥ 2 linhas de terapia — adultos</w:t>
            </w:r>
          </w:p>
        </w:tc>
        <w:tc>
          <w:tcPr>
            <w:tcW w:type="dxa" w:w="252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color w:val="1F2733"/>
                <w:sz w:val="16"/>
                <w:szCs w:val="16"/>
              </w:rPr>
              <w:t xml:space="preserve">Registrado na ANVISA. Sem avaliação CONITEC. Sem Rol ANS. Sujeito ao Tema 6/STF em demandas ao SUS.</w:t>
            </w:r>
          </w:p>
        </w:tc>
      </w:tr>
    </w:tbl>
    <w:p>
      <w:pPr>
        <w:spacing w:after="120"/>
      </w:pPr>
    </w:p>
    <w:p>
      <w:pPr>
        <w:spacing w:after="240"/>
      </w:pPr>
    </w:p>
    <w:p>
      <w:pPr>
        <w:pBdr>
          <w:top w:val="single" w:color="D7DDE8" w:sz="4"/>
        </w:pBdr>
        <w:spacing w:after="40" w:before="120"/>
        <w:jc w:val="center"/>
      </w:pPr>
      <w:r>
        <w:rPr>
          <w:i/>
          <w:iCs/>
          <w:color w:val="556677"/>
          <w:sz w:val="16"/>
          <w:szCs w:val="16"/>
        </w:rPr>
        <w:t xml:space="preserve">— Fim do Monitoramento em Direito da Saúde — Edição 6/2026 —</w:t>
      </w:r>
    </w:p>
    <w:p>
      <w:pPr>
        <w:jc w:val="center"/>
      </w:pPr>
      <w:r>
        <w:rPr>
          <w:i/>
          <w:iCs/>
          <w:color w:val="556677"/>
          <w:sz w:val="16"/>
          <w:szCs w:val="16"/>
        </w:rPr>
        <w:t xml:space="preserve">Grupo de Trabalho em Direito da Saúde · TRF3 · Ciclo Agosto/Setembro 2026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2snavea9difm3jdzqazjl" Type="http://schemas.openxmlformats.org/officeDocument/2006/relationships/hyperlink" Target="https://processo.stj.jus.br/SCON/GetPDFINFJ?edicao=0896" TargetMode="External"/><Relationship Id="rId7m1j7dnvbqci98yvwje9v" Type="http://schemas.openxmlformats.org/officeDocument/2006/relationships/hyperlink" Target="https://processo.stj.jus.br/SCON/GetPDFINFJ?edicao=0899" TargetMode="External"/><Relationship Id="rIdyen4jidwnirnuxwirtpue" Type="http://schemas.openxmlformats.org/officeDocument/2006/relationships/hyperlink" Target="https://processo.stj.jus.br/SCON/GetPDFINFJ?edicao=0899" TargetMode="External"/><Relationship Id="rIdiqczl8joknhn6ed58ardd" Type="http://schemas.openxmlformats.org/officeDocument/2006/relationships/hyperlink" Target="https://www.pje.jus.br/e-natjus/arquivo-download.php?hash=26ea9cdbfc0ba88651a01e085eb09ce99eefb53c" TargetMode="External"/><Relationship Id="rIdcdyiduv9mxgwkswmiieqp" Type="http://schemas.openxmlformats.org/officeDocument/2006/relationships/hyperlink" Target="https://www.pje.jus.br/e-natjus/arquivo-download.php?hash=2b124dc554c91ca5661be18c4364f7be819dc986" TargetMode="External"/><Relationship Id="rId9oze2azrkethrcvdykaqi" Type="http://schemas.openxmlformats.org/officeDocument/2006/relationships/hyperlink" Target="https://www.planalto.gov.br/ccivil_03/_ato2023-2026/2026/lei/l15493.htm" TargetMode="External"/><Relationship Id="rIdq2036s01nukazi33w44ls" Type="http://schemas.openxmlformats.org/officeDocument/2006/relationships/hyperlink" Target="https://www.planalto.gov.br/ccivil_03/_ato2023-2026/2026/lei/l15492.htm" TargetMode="External"/><Relationship Id="rIdfska14ufhmqlke8nddxsk" Type="http://schemas.openxmlformats.org/officeDocument/2006/relationships/hyperlink" Target="https://www.in.gov.br/web/dou/-/portaria-conjunta-sctie/saes/ms-n-3-de-5-de-agosto-de-2026-723790132" TargetMode="External"/><Relationship Id="rIdadtyb80pbxfkogibgfktr" Type="http://schemas.openxmlformats.org/officeDocument/2006/relationships/hyperlink" Target="https://www.in.gov.br/web/dou/-/portaria-conjunta-saes/sctie-n-68-de-30-de-julho-de-2026-724192253" TargetMode="External"/><Relationship Id="rId1k9psrd329ckd0de1wb0i" Type="http://schemas.openxmlformats.org/officeDocument/2006/relationships/hyperlink" Target="https://www.in.gov.br/web/dou/-/portaria-saes/ms-n-4.695-de-13-de-agosto-de-2026-725469744" TargetMode="External"/><Relationship Id="rIdv7onflaevbrinv8gma361" Type="http://schemas.openxmlformats.org/officeDocument/2006/relationships/hyperlink" Target="https://www.in.gov.br/web/dou/-/portaria-gm/ms-n-12.091-de-11-de-agosto-de-2026-724732070" TargetMode="External"/><Relationship Id="rIdaxbqsz47etogrifw4g8td" Type="http://schemas.openxmlformats.org/officeDocument/2006/relationships/hyperlink" Target="https://www.in.gov.br/web/dou/-/portaria-gm/ms-n-12.085-de-17-de-agosto-de-2026-725905511" TargetMode="External"/><Relationship Id="rIddjyogkkcqjrpfqzmkh47d" Type="http://schemas.openxmlformats.org/officeDocument/2006/relationships/hyperlink" Target="https://www.gov.br/saude/pt-br/assuntos/pcdt/d/pcdt-doenca-de-crohn.pdf/view" TargetMode="External"/><Relationship Id="rIdtdq1xqopjsghepqj51qhy" Type="http://schemas.openxmlformats.org/officeDocument/2006/relationships/hyperlink" Target="https://www.gov.br/saude/pt-br/assuntos/pcdt/e/endometriose/view" TargetMode="External"/><Relationship Id="rIddi9wmbd_zoccwdrprwqt5" Type="http://schemas.openxmlformats.org/officeDocument/2006/relationships/hyperlink" Target="https://www.gov.br/conitec/pt-br/midias/relatorios/portaria/2026/portaria-conjunta-saes-sctie-no-70-de-5-de-agosto-de-2026-1.pdf/@@display-file/file" TargetMode="External"/><Relationship Id="rIdes722yak4mvxg_2kpy75k" Type="http://schemas.openxmlformats.org/officeDocument/2006/relationships/hyperlink" Target="https://www.gov.br/conitec/pt-br/midias/relatorios/portaria/2026/portaria-sctie-ms-no-53-de-14-de-agosto-de-2026/@@display-file/file" TargetMode="External"/><Relationship Id="rIdi4znbharjnhlmmuxlwwxa" Type="http://schemas.openxmlformats.org/officeDocument/2006/relationships/hyperlink" Target="https://www.gov.br/conitec/pt-br/midias/relatorios/portaria/2026/portaria-sctie-ms-no-55-de-1o-de-setembro-de-2026.pdf/@@display-file/file" TargetMode="External"/><Relationship Id="rIdfzit0ilbfrsqn2o9zqdzf" Type="http://schemas.openxmlformats.org/officeDocument/2006/relationships/hyperlink" Target="https://www.gov.br/ans/pt-br/assuntos/noticias-1/periodo-eleitoral/cosaude-avalia-incorporacao-de-tecnologias-no-rol" TargetMode="External"/><Relationship Id="rIdohxmgdel6i7eisdwxnmpw" Type="http://schemas.openxmlformats.org/officeDocument/2006/relationships/hyperlink" Target="https://www.gov.br/ans/pt-br/assuntos/noticias-1/periodo-eleitoral/integracao-entre-sus-e-saude-suplementar-com-foco-na-pessoa-e-em-valor-em-saude-ganha-destaque-em-seminario-da-fgv" TargetMode="External"/><Relationship Id="rIdob3urmjjmcgh-0nbbrftm" Type="http://schemas.openxmlformats.org/officeDocument/2006/relationships/hyperlink" Target="https://www.youtube.com/live/tLyEOqRBKJM" TargetMode="External"/><Relationship Id="rIdzzmt3xtpgqyber4b-gp2t" Type="http://schemas.openxmlformats.org/officeDocument/2006/relationships/hyperlink" Target="https://consenso.org.br/instituto-consenso-realiza-encontro-tecnico-para-debater-os-10-anos-da-rede-natjus-e-os-caminhos-para-seu-fortalecimento/" TargetMode="External"/><Relationship Id="rIdmnrzqueb2fwqer4zknm4y" Type="http://schemas.openxmlformats.org/officeDocument/2006/relationships/hyperlink" Target="https://www.conass.org.br/oficina-do-conass-capacita-estados-para-a-implementacao-da-politica-nacional-de-prevencao-e-controle-do-cancer/" TargetMode="External"/><Relationship Id="rIdes7vfpaqzjjbrjedds55k" Type="http://schemas.openxmlformats.org/officeDocument/2006/relationships/hyperlink" Target="https://www.gov.br/anvisa/pt-br/assuntos/noticias-anvisa/2026/anvisa-e-roche-informam-o-cancelamento-do-registro-do-medicamento-elevidys-r-a-pedido-da-empresa" TargetMode="External"/><Relationship Id="rIde5wgoldar-a-tzsl8bhaq" Type="http://schemas.openxmlformats.org/officeDocument/2006/relationships/hyperlink" Target="https://www.gov.br/anvisa/pt-br/assuntos/noticias-anvisa/2026/anvisa-aprova-novo-medicamento-para-distrofia-muscular-de-duchenne/138-2026-duvyzat.pdf/@@display-file/file" TargetMode="External"/><Relationship Id="rIddk1fvu_pbphy0r1-srftj" Type="http://schemas.openxmlformats.org/officeDocument/2006/relationships/hyperlink" Target="https://www.gov.br/anvisa/pt-br/assuntos/medicamentos/novos-medicamentos-e-indicacoes/imaavy-r-nipocalimabe" TargetMode="External"/><Relationship Id="rIdj57pmiyhna_jtf0fh3aiy" Type="http://schemas.openxmlformats.org/officeDocument/2006/relationships/hyperlink" Target="https://www.gov.br/anvisa/pt-br/assuntos/medicamentos/novos-medicamentos-e-indicacoes/vanrafia-r-cloridrato-de-atrasentana" TargetMode="External"/><Relationship Id="rIdxqt_cmwkfp4w9f27dvxqg" Type="http://schemas.openxmlformats.org/officeDocument/2006/relationships/hyperlink" Target="https://www.gov.br/anvisa/pt-br/assuntos/medicamentos/novos-medicamentos-e-indicacoes/fruzaqla-r-fruquintinibe" TargetMode="External"/><Relationship Id="rIdrekw-zhluzp_rmq5z2ky4" Type="http://schemas.openxmlformats.org/officeDocument/2006/relationships/hyperlink" Target="https://www.gov.br/anvisa/pt-br/assuntos/medicamentos/novos-medicamentos-e-indicacoes/lunsumio-r-sc-mosunetuzumabe" TargetMode="External"/><Relationship Id="rId7" Type="http://schemas.openxmlformats.org/officeDocument/2006/relationships/image" Target="media/1fead8780dcaa06fd78ac801bb884d02525842e6.png"/><Relationship Id="rId36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Monitoramento em Direito da Saúde — Edição 6/2026</dc:title>
  <dc:creator>GT Direito da Saúde/TRF3</dc:creator>
  <cp:lastModifiedBy>Un-named</cp:lastModifiedBy>
  <cp:revision>1</cp:revision>
  <dcterms:created xsi:type="dcterms:W3CDTF">2026-09-05T04:45:44.209Z</dcterms:created>
  <dcterms:modified xsi:type="dcterms:W3CDTF">2026-09-05T04:45:44.221Z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