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spacing w:before="0" w:after="80"/>
        <w:jc w:val="center"/>
      </w:pPr>
      <w:r>
        <w:drawing>
          <wp:inline xmlns:a="http://schemas.openxmlformats.org/drawingml/2006/main" xmlns:pic="http://schemas.openxmlformats.org/drawingml/2006/picture">
            <wp:extent cx="3017520" cy="898550"/>
            <wp:docPr id="1" name="Picture 1"/>
            <wp:cNvGraphicFramePr>
              <a:graphicFrameLocks noChangeAspect="1"/>
            </wp:cNvGraphicFramePr>
            <a:graphic>
              <a:graphicData uri="http://schemas.openxmlformats.org/drawingml/2006/picture">
                <pic:pic>
                  <pic:nvPicPr>
                    <pic:cNvPr id="0" name="logo.png"/>
                    <pic:cNvPicPr/>
                  </pic:nvPicPr>
                  <pic:blipFill>
                    <a:blip r:embed="rId9"/>
                    <a:stretch>
                      <a:fillRect/>
                    </a:stretch>
                  </pic:blipFill>
                  <pic:spPr>
                    <a:xfrm>
                      <a:off x="0" y="0"/>
                      <a:ext cx="3017520" cy="898550"/>
                    </a:xfrm>
                    <a:prstGeom prst="rect"/>
                  </pic:spPr>
                </pic:pic>
              </a:graphicData>
            </a:graphic>
          </wp:inline>
        </w:drawing>
      </w:r>
    </w:p>
    <w:p>
      <w:pPr>
        <w:spacing w:before="0" w:after="80"/>
        <w:jc w:val="center"/>
      </w:pPr>
      <w:r>
        <w:rPr>
          <w:color w:val="556677"/>
          <w:sz w:val="17"/>
        </w:rPr>
        <w:t>Edição 7/2026 — Ciclo Setembro/Outubro 2026</w:t>
      </w:r>
    </w:p>
    <w:tbl>
      <w:tblPr>
        <w:tblW w:type="auto" w:w="0"/>
        <w:jc w:val="center"/>
        <w:tblLook w:firstColumn="1" w:firstRow="1" w:lastColumn="0" w:lastRow="0" w:noHBand="0" w:noVBand="1" w:val="04A0"/>
        <w:tblBorders>
          <w:top w:val="single" w:sz="4" w:space="0" w:color="1F3864"/>
          <w:left w:val="single" w:sz="4" w:space="0" w:color="1F3864"/>
          <w:bottom w:val="single" w:sz="4" w:space="0" w:color="1F3864"/>
          <w:right w:val="single" w:sz="4" w:space="0" w:color="1F3864"/>
          <w:insideH w:val="nil"/>
          <w:insideV w:val="nil"/>
        </w:tblBorders>
      </w:tblPr>
      <w:tblGrid>
        <w:gridCol w:w="9936"/>
      </w:tblGrid>
      <w:tr>
        <w:tc>
          <w:tcPr>
            <w:tcW w:type="dxa" w:w="9936"/>
            <w:tcW w:w="9936" w:type="dxa"/>
            <w:shd w:val="clear" w:color="auto" w:fill="1F3864"/>
            <w:tcMar>
              <w:top w:w="140" w:type="dxa"/>
              <w:left w:w="120" w:type="dxa"/>
              <w:bottom w:w="140" w:type="dxa"/>
              <w:right w:w="120" w:type="dxa"/>
            </w:tcMar>
          </w:tcPr>
          <w:p>
            <w:pPr>
              <w:spacing w:before="0" w:after="40"/>
              <w:jc w:val="center"/>
            </w:pPr>
            <w:r>
              <w:rPr>
                <w:b/>
                <w:color w:val="FFFFFF"/>
                <w:sz w:val="30"/>
              </w:rPr>
              <w:t>MONITORAMENTO EM DIREITO DA SAÚDE</w:t>
            </w:r>
          </w:p>
          <w:p>
            <w:pPr>
              <w:spacing w:before="0" w:after="0"/>
              <w:jc w:val="center"/>
            </w:pPr>
            <w:r>
              <w:rPr>
                <w:b/>
                <w:color w:val="FFFFFF"/>
                <w:sz w:val="19"/>
              </w:rPr>
              <w:t>Período de Referência: Ciclo Setembro/Outubro 2026</w:t>
            </w:r>
          </w:p>
        </w:tc>
      </w:tr>
    </w:tbl>
    <w:p>
      <w:pPr>
        <w:spacing w:after="40"/>
      </w:pPr>
    </w:p>
    <w:p>
      <w:pPr>
        <w:spacing w:before="120" w:after="60"/>
      </w:pPr>
      <w:r>
        <w:rPr>
          <w:b/>
          <w:color w:val="1F4E79"/>
          <w:sz w:val="17"/>
        </w:rPr>
        <w:t>COMO LER ESTA EDIÇÃO</w:t>
      </w:r>
    </w:p>
    <w:tbl>
      <w:tblPr>
        <w:tblW w:type="auto" w:w="0"/>
        <w:jc w:val="center"/>
        <w:tblLook w:firstColumn="1" w:firstRow="1" w:lastColumn="0" w:lastRow="0" w:noHBand="0" w:noVBand="1" w:val="04A0"/>
        <w:tblBorders>
          <w:top w:val="nil"/>
          <w:left w:val="nil"/>
          <w:bottom w:val="nil"/>
          <w:right w:val="nil"/>
          <w:insideH w:val="nil"/>
          <w:insideV w:val="nil"/>
        </w:tblBorders>
        <w:tblBorders>
          <w:top w:val="single" w:sz="4" w:space="0" w:color="D7DDE8"/>
          <w:left w:val="single" w:sz="4" w:space="0" w:color="D7DDE8"/>
          <w:bottom w:val="single" w:sz="4" w:space="0" w:color="D7DDE8"/>
          <w:right w:val="single" w:sz="4" w:space="0" w:color="D7DDE8"/>
          <w:insideH w:val="nil"/>
          <w:insideV w:val="single" w:sz="4" w:space="0" w:color="D7DDE8"/>
        </w:tblBorders>
      </w:tblPr>
      <w:tblGrid>
        <w:gridCol w:w="4968"/>
        <w:gridCol w:w="4968"/>
      </w:tblGrid>
      <w:tr>
        <w:tc>
          <w:tcPr>
            <w:tcW w:type="dxa" w:w="4968"/>
            <w:tcW w:w="4896" w:type="dxa"/>
            <w:shd w:val="clear" w:color="auto" w:fill="FAFBFE"/>
            <w:tcMar>
              <w:top w:w="80" w:type="dxa"/>
              <w:left w:w="100" w:type="dxa"/>
              <w:bottom w:w="80" w:type="dxa"/>
              <w:right w:w="100" w:type="dxa"/>
            </w:tcMar>
            <w:vAlign w:val="top"/>
          </w:tcPr>
          <w:p>
            <w:pPr>
              <w:spacing w:before="0" w:after="60"/>
            </w:pPr>
            <w:r>
              <w:rPr>
                <w:b/>
                <w:color w:val="1F4E79"/>
                <w:sz w:val="14"/>
                <w:shd w:val="clear" w:color="auto" w:fill="D9E2F3"/>
              </w:rPr>
              <w:t xml:space="preserve"> SUS </w:t>
            </w:r>
          </w:p>
          <w:p>
            <w:pPr>
              <w:spacing w:before="0" w:after="0"/>
              <w:jc w:val="both"/>
            </w:pPr>
            <w:r>
              <w:rPr>
                <w:sz w:val="17"/>
              </w:rPr>
              <w:t>Conteúdo do Sistema Único de Saúde — atos e demandas afetos à Justiça Federal (União, entes públicos, incorporação de tecnologias, fornecimento). Faixa lateral em azul institucional.</w:t>
            </w:r>
          </w:p>
        </w:tc>
        <w:tc>
          <w:tcPr>
            <w:tcW w:type="dxa" w:w="4968"/>
            <w:tcW w:w="4896" w:type="dxa"/>
            <w:shd w:val="clear" w:color="auto" w:fill="FAFBFE"/>
            <w:tcMar>
              <w:top w:w="80" w:type="dxa"/>
              <w:left w:w="100" w:type="dxa"/>
              <w:bottom w:w="80" w:type="dxa"/>
              <w:right w:w="100" w:type="dxa"/>
            </w:tcMar>
            <w:vAlign w:val="top"/>
          </w:tcPr>
          <w:p>
            <w:pPr>
              <w:spacing w:before="0" w:after="60"/>
            </w:pPr>
            <w:r>
              <w:rPr>
                <w:b/>
                <w:color w:val="FFFFFF"/>
                <w:sz w:val="14"/>
                <w:shd w:val="clear" w:color="auto" w:fill="1F3864"/>
              </w:rPr>
              <w:t xml:space="preserve"> SAÚDE SUPLEMENTAR </w:t>
            </w:r>
          </w:p>
          <w:p>
            <w:pPr>
              <w:spacing w:before="0" w:after="0"/>
              <w:jc w:val="both"/>
            </w:pPr>
            <w:r>
              <w:rPr>
                <w:sz w:val="17"/>
              </w:rPr>
              <w:t>Conteúdo de saúde suplementar — atos da ANS e demandas relativas a planos e seguros privados de assistência à saúde, predominantemente afetas à Justiça Estadual. Faixa lateral em azul-marinho.</w:t>
            </w:r>
          </w:p>
        </w:tc>
      </w:tr>
    </w:tbl>
    <w:p>
      <w:pPr>
        <w:spacing w:before="60" w:after="80"/>
        <w:jc w:val="both"/>
      </w:pPr>
      <w:r>
        <w:rPr>
          <w:i/>
          <w:color w:val="556677"/>
          <w:sz w:val="17"/>
        </w:rPr>
        <w:t>Cada ficha e cada bloco trazem o selo de âmbito, e a cor da faixa lateral acompanha o selo. A segregação por âmbito é meramente organizativa e não altera o caráter informativo da publicação.</w:t>
      </w:r>
    </w:p>
    <w:p>
      <w:pPr>
        <w:spacing w:before="0" w:after="120"/>
      </w:pPr>
    </w:p>
    <w:tbl>
      <w:tblPr>
        <w:tblW w:type="auto" w:w="0"/>
        <w:jc w:val="center"/>
        <w:tblLook w:firstColumn="1" w:firstRow="1" w:lastColumn="0" w:lastRow="0" w:noHBand="0" w:noVBand="1" w:val="04A0"/>
        <w:tblBorders>
          <w:top w:val="single" w:sz="8" w:space="0" w:color="BF8F00"/>
          <w:left w:val="single" w:sz="18" w:space="0" w:color="BF8F00"/>
          <w:bottom w:val="single" w:sz="8" w:space="0" w:color="BF8F00"/>
          <w:right w:val="single" w:sz="8" w:space="0" w:color="BF8F00"/>
          <w:insideH w:val="nil"/>
          <w:insideV w:val="nil"/>
        </w:tblBorders>
      </w:tblPr>
      <w:tblGrid>
        <w:gridCol w:w="9936"/>
      </w:tblGrid>
      <w:tr>
        <w:tc>
          <w:tcPr>
            <w:tcW w:type="dxa" w:w="9936"/>
            <w:tcW w:w="9936" w:type="dxa"/>
            <w:shd w:val="clear" w:color="auto" w:fill="FFF2CB"/>
            <w:tcMar>
              <w:top w:w="90" w:type="dxa"/>
              <w:left w:w="110" w:type="dxa"/>
              <w:bottom w:w="90" w:type="dxa"/>
              <w:right w:w="110" w:type="dxa"/>
            </w:tcMar>
          </w:tcPr>
          <w:p>
            <w:pPr>
              <w:spacing w:before="0" w:after="60"/>
            </w:pPr>
            <w:r>
              <w:rPr>
                <w:b/>
                <w:color w:val="BF8F00"/>
                <w:sz w:val="17"/>
              </w:rPr>
              <w:t>NOTA DE TRANSPARÊNCIA E ISENÇÃO</w:t>
            </w:r>
          </w:p>
          <w:p>
            <w:pPr>
              <w:spacing w:before="0" w:after="0"/>
              <w:jc w:val="both"/>
            </w:pPr>
            <w:r>
              <w:rPr>
                <w:color w:val="1F3864"/>
                <w:sz w:val="19"/>
              </w:rPr>
              <w:t>Este relatório foi processado com suporte de Inteligência Artificial para análise de dados e estruturação normativa, submetido à revisão humana integral e validação técnica do Grupo de Trabalho instituído pela Portaria CGADS-3R Nº 1/2026. Apresenta, de forma objetiva e concisa, resumos de teses, precedentes e atos normativos de interesse da Justiça Federal e da Justiça Estadual. Possui caráter estritamente informativo e não vinculante, não constituindo repositório oficial de jurisprudência ou de atos administrativos; a citação final remete sempre à fonte primária oficial (Planalto, DOU, portais do STF, do STJ, da CONITEC, da ANS e da ANVISA), conforme o item 6.4 do Plano de Trabalho.</w:t>
            </w:r>
          </w:p>
        </w:tc>
      </w:tr>
    </w:tbl>
    <w:p>
      <w:pPr>
        <w:spacing w:before="0" w:after="120"/>
      </w:pPr>
    </w:p>
    <w:tbl>
      <w:tblPr>
        <w:tblW w:type="auto" w:w="0"/>
        <w:jc w:val="center"/>
        <w:tblLook w:firstColumn="1" w:firstRow="1" w:lastColumn="0" w:lastRow="0" w:noHBand="0" w:noVBand="1" w:val="04A0"/>
        <w:tblBorders>
          <w:top w:val="single" w:sz="4" w:space="0" w:color="1F3864"/>
          <w:left w:val="single" w:sz="4" w:space="0" w:color="1F3864"/>
          <w:bottom w:val="single" w:sz="4" w:space="0" w:color="1F3864"/>
          <w:right w:val="single" w:sz="4" w:space="0" w:color="1F3864"/>
          <w:insideH w:val="nil"/>
          <w:insideV w:val="nil"/>
        </w:tblBorders>
      </w:tblPr>
      <w:tblGrid>
        <w:gridCol w:w="9936"/>
      </w:tblGrid>
      <w:tr>
        <w:tc>
          <w:tcPr>
            <w:tcW w:type="dxa" w:w="9936"/>
            <w:tcW w:w="9936" w:type="dxa"/>
            <w:shd w:val="clear" w:color="auto" w:fill="1F3864"/>
            <w:tcMar>
              <w:top w:w="70" w:type="dxa"/>
              <w:left w:w="110" w:type="dxa"/>
              <w:bottom w:w="70" w:type="dxa"/>
              <w:right w:w="110" w:type="dxa"/>
            </w:tcMar>
          </w:tcPr>
          <w:p>
            <w:pPr>
              <w:spacing w:before="0" w:after="0"/>
            </w:pPr>
            <w:r>
              <w:rPr>
                <w:b/>
                <w:color w:val="FFFFFF"/>
                <w:sz w:val="20"/>
              </w:rPr>
              <w:t>NESTA EDIÇÃO</w:t>
            </w:r>
          </w:p>
        </w:tc>
      </w:tr>
    </w:tbl>
    <w:tbl>
      <w:tblPr>
        <w:tblW w:type="auto" w:w="0"/>
        <w:jc w:val="center"/>
        <w:tblLook w:firstColumn="1" w:firstRow="1" w:lastColumn="0" w:lastRow="0" w:noHBand="0" w:noVBand="1" w:val="04A0"/>
        <w:tblBorders>
          <w:top w:val="single" w:sz="4" w:space="0" w:color="D7DDE8"/>
          <w:left w:val="single" w:sz="4" w:space="0" w:color="D7DDE8"/>
          <w:bottom w:val="single" w:sz="4" w:space="0" w:color="D7DDE8"/>
          <w:right w:val="single" w:sz="4" w:space="0" w:color="D7DDE8"/>
          <w:insideH w:val="single" w:sz="4" w:space="0" w:color="D7DDE8"/>
          <w:insideV w:val="nil"/>
        </w:tblBorders>
      </w:tblPr>
      <w:tblGrid>
        <w:gridCol w:w="4968"/>
        <w:gridCol w:w="4968"/>
      </w:tblGrid>
      <w:tr>
        <w:tc>
          <w:tcPr>
            <w:tcW w:type="dxa" w:w="4968"/>
            <w:tcW w:w="5472" w:type="dxa"/>
            <w:shd w:val="clear" w:color="auto" w:fill="FFFFFF"/>
            <w:tcMar>
              <w:top w:w="50" w:type="dxa"/>
              <w:left w:w="100" w:type="dxa"/>
              <w:bottom w:w="50" w:type="dxa"/>
              <w:right w:w="100" w:type="dxa"/>
            </w:tcMar>
            <w:vAlign w:val="center"/>
          </w:tcPr>
          <w:p>
            <w:pPr>
              <w:spacing w:before="0" w:after="0"/>
            </w:pPr>
            <w:r>
              <w:rPr>
                <w:b/>
                <w:color w:val="1F3864"/>
                <w:sz w:val="19"/>
              </w:rPr>
              <w:t>Sumário Executivo</w:t>
            </w:r>
          </w:p>
        </w:tc>
        <w:tc>
          <w:tcPr>
            <w:tcW w:type="dxa" w:w="4968"/>
            <w:tcW w:w="4464" w:type="dxa"/>
            <w:shd w:val="clear" w:color="auto" w:fill="FFFFFF"/>
            <w:tcMar>
              <w:top w:w="50" w:type="dxa"/>
              <w:left w:w="100" w:type="dxa"/>
              <w:bottom w:w="50" w:type="dxa"/>
              <w:right w:w="100" w:type="dxa"/>
            </w:tcMar>
            <w:vAlign w:val="center"/>
          </w:tcPr>
          <w:p>
            <w:pPr>
              <w:spacing w:before="0" w:after="0"/>
              <w:jc w:val="right"/>
            </w:pPr>
            <w:r>
              <w:rPr>
                <w:b/>
                <w:color w:val="1F4E79"/>
                <w:sz w:val="19"/>
              </w:rPr>
              <w:t>Visão geral</w:t>
            </w:r>
          </w:p>
        </w:tc>
      </w:tr>
      <w:tr>
        <w:tc>
          <w:tcPr>
            <w:tcW w:type="dxa" w:w="4968"/>
            <w:tcW w:w="5472" w:type="dxa"/>
            <w:shd w:val="clear" w:color="auto" w:fill="F6F9FD"/>
            <w:tcMar>
              <w:top w:w="50" w:type="dxa"/>
              <w:left w:w="100" w:type="dxa"/>
              <w:bottom w:w="50" w:type="dxa"/>
              <w:right w:w="100" w:type="dxa"/>
            </w:tcMar>
            <w:vAlign w:val="center"/>
          </w:tcPr>
          <w:p>
            <w:pPr>
              <w:spacing w:before="0" w:after="0"/>
            </w:pPr>
            <w:r>
              <w:rPr>
                <w:b/>
                <w:color w:val="1F3864"/>
                <w:sz w:val="19"/>
              </w:rPr>
              <w:t>Jurisprudência (SUS · Suplementar)</w:t>
            </w:r>
          </w:p>
        </w:tc>
        <w:tc>
          <w:tcPr>
            <w:tcW w:type="dxa" w:w="4968"/>
            <w:tcW w:w="4464" w:type="dxa"/>
            <w:shd w:val="clear" w:color="auto" w:fill="F6F9FD"/>
            <w:tcMar>
              <w:top w:w="50" w:type="dxa"/>
              <w:left w:w="100" w:type="dxa"/>
              <w:bottom w:w="50" w:type="dxa"/>
              <w:right w:w="100" w:type="dxa"/>
            </w:tcMar>
            <w:vAlign w:val="center"/>
          </w:tcPr>
          <w:p>
            <w:pPr>
              <w:spacing w:before="0" w:after="0"/>
              <w:jc w:val="right"/>
            </w:pPr>
            <w:r>
              <w:rPr>
                <w:b/>
                <w:color w:val="1F4E79"/>
                <w:sz w:val="19"/>
              </w:rPr>
              <w:t>4 STF · 1 STJ · acompanhamentos</w:t>
            </w:r>
          </w:p>
        </w:tc>
      </w:tr>
      <w:tr>
        <w:tc>
          <w:tcPr>
            <w:tcW w:type="dxa" w:w="4968"/>
            <w:tcW w:w="5472" w:type="dxa"/>
            <w:shd w:val="clear" w:color="auto" w:fill="FFFFFF"/>
            <w:tcMar>
              <w:top w:w="50" w:type="dxa"/>
              <w:left w:w="100" w:type="dxa"/>
              <w:bottom w:w="50" w:type="dxa"/>
              <w:right w:w="100" w:type="dxa"/>
            </w:tcMar>
            <w:vAlign w:val="center"/>
          </w:tcPr>
          <w:p>
            <w:pPr>
              <w:spacing w:before="0" w:after="0"/>
            </w:pPr>
            <w:r>
              <w:rPr>
                <w:b/>
                <w:color w:val="1F3864"/>
                <w:sz w:val="19"/>
              </w:rPr>
              <w:t>E-NatJus / Evidências</w:t>
            </w:r>
          </w:p>
        </w:tc>
        <w:tc>
          <w:tcPr>
            <w:tcW w:type="dxa" w:w="4968"/>
            <w:tcW w:w="4464" w:type="dxa"/>
            <w:shd w:val="clear" w:color="auto" w:fill="FFFFFF"/>
            <w:tcMar>
              <w:top w:w="50" w:type="dxa"/>
              <w:left w:w="100" w:type="dxa"/>
              <w:bottom w:w="50" w:type="dxa"/>
              <w:right w:w="100" w:type="dxa"/>
            </w:tcMar>
            <w:vAlign w:val="center"/>
          </w:tcPr>
          <w:p>
            <w:pPr>
              <w:spacing w:before="0" w:after="0"/>
              <w:jc w:val="right"/>
            </w:pPr>
            <w:r>
              <w:rPr>
                <w:b/>
                <w:color w:val="1F4E79"/>
                <w:sz w:val="19"/>
              </w:rPr>
              <w:t>1 revisão</w:t>
            </w:r>
          </w:p>
        </w:tc>
      </w:tr>
      <w:tr>
        <w:tc>
          <w:tcPr>
            <w:tcW w:type="dxa" w:w="4968"/>
            <w:tcW w:w="5472" w:type="dxa"/>
            <w:shd w:val="clear" w:color="auto" w:fill="F6F9FD"/>
            <w:tcMar>
              <w:top w:w="50" w:type="dxa"/>
              <w:left w:w="100" w:type="dxa"/>
              <w:bottom w:w="50" w:type="dxa"/>
              <w:right w:w="100" w:type="dxa"/>
            </w:tcMar>
            <w:vAlign w:val="center"/>
          </w:tcPr>
          <w:p>
            <w:pPr>
              <w:spacing w:before="0" w:after="0"/>
            </w:pPr>
            <w:r>
              <w:rPr>
                <w:b/>
                <w:color w:val="1F3864"/>
                <w:sz w:val="19"/>
              </w:rPr>
              <w:t>Legislação e Atos Normativos</w:t>
            </w:r>
          </w:p>
        </w:tc>
        <w:tc>
          <w:tcPr>
            <w:tcW w:type="dxa" w:w="4968"/>
            <w:tcW w:w="4464" w:type="dxa"/>
            <w:shd w:val="clear" w:color="auto" w:fill="F6F9FD"/>
            <w:tcMar>
              <w:top w:w="50" w:type="dxa"/>
              <w:left w:w="100" w:type="dxa"/>
              <w:bottom w:w="50" w:type="dxa"/>
              <w:right w:w="100" w:type="dxa"/>
            </w:tcMar>
            <w:vAlign w:val="center"/>
          </w:tcPr>
          <w:p>
            <w:pPr>
              <w:spacing w:before="0" w:after="0"/>
              <w:jc w:val="right"/>
            </w:pPr>
            <w:r>
              <w:rPr>
                <w:b/>
                <w:color w:val="1F4E79"/>
                <w:sz w:val="19"/>
              </w:rPr>
              <w:t>7 leis · atos MS · 6 CONITEC · RN 680</w:t>
            </w:r>
          </w:p>
        </w:tc>
      </w:tr>
      <w:tr>
        <w:tc>
          <w:tcPr>
            <w:tcW w:type="dxa" w:w="4968"/>
            <w:tcW w:w="5472" w:type="dxa"/>
            <w:shd w:val="clear" w:color="auto" w:fill="FFFFFF"/>
            <w:tcMar>
              <w:top w:w="50" w:type="dxa"/>
              <w:left w:w="100" w:type="dxa"/>
              <w:bottom w:w="50" w:type="dxa"/>
              <w:right w:w="100" w:type="dxa"/>
            </w:tcMar>
            <w:vAlign w:val="center"/>
          </w:tcPr>
          <w:p>
            <w:pPr>
              <w:spacing w:before="0" w:after="0"/>
            </w:pPr>
            <w:r>
              <w:rPr>
                <w:b/>
                <w:color w:val="1F3864"/>
                <w:sz w:val="19"/>
              </w:rPr>
              <w:t>Iniciativas Institucionais</w:t>
            </w:r>
          </w:p>
        </w:tc>
        <w:tc>
          <w:tcPr>
            <w:tcW w:type="dxa" w:w="4968"/>
            <w:tcW w:w="4464" w:type="dxa"/>
            <w:shd w:val="clear" w:color="auto" w:fill="FFFFFF"/>
            <w:tcMar>
              <w:top w:w="50" w:type="dxa"/>
              <w:left w:w="100" w:type="dxa"/>
              <w:bottom w:w="50" w:type="dxa"/>
              <w:right w:w="100" w:type="dxa"/>
            </w:tcMar>
            <w:vAlign w:val="center"/>
          </w:tcPr>
          <w:p>
            <w:pPr>
              <w:spacing w:before="0" w:after="0"/>
              <w:jc w:val="right"/>
            </w:pPr>
            <w:r>
              <w:rPr>
                <w:b/>
                <w:color w:val="1F4E79"/>
                <w:sz w:val="19"/>
              </w:rPr>
              <w:t>7 iniciativas</w:t>
            </w:r>
          </w:p>
        </w:tc>
      </w:tr>
      <w:tr>
        <w:tc>
          <w:tcPr>
            <w:tcW w:type="dxa" w:w="4968"/>
            <w:tcW w:w="5472" w:type="dxa"/>
            <w:shd w:val="clear" w:color="auto" w:fill="F6F9FD"/>
            <w:tcMar>
              <w:top w:w="50" w:type="dxa"/>
              <w:left w:w="100" w:type="dxa"/>
              <w:bottom w:w="50" w:type="dxa"/>
              <w:right w:w="100" w:type="dxa"/>
            </w:tcMar>
            <w:vAlign w:val="center"/>
          </w:tcPr>
          <w:p>
            <w:pPr>
              <w:spacing w:before="0" w:after="0"/>
            </w:pPr>
            <w:r>
              <w:rPr>
                <w:b/>
                <w:color w:val="1F3864"/>
                <w:sz w:val="19"/>
              </w:rPr>
              <w:t>ANVISA</w:t>
            </w:r>
          </w:p>
        </w:tc>
        <w:tc>
          <w:tcPr>
            <w:tcW w:type="dxa" w:w="4968"/>
            <w:tcW w:w="4464" w:type="dxa"/>
            <w:shd w:val="clear" w:color="auto" w:fill="F6F9FD"/>
            <w:tcMar>
              <w:top w:w="50" w:type="dxa"/>
              <w:left w:w="100" w:type="dxa"/>
              <w:bottom w:w="50" w:type="dxa"/>
              <w:right w:w="100" w:type="dxa"/>
            </w:tcMar>
            <w:vAlign w:val="center"/>
          </w:tcPr>
          <w:p>
            <w:pPr>
              <w:spacing w:before="0" w:after="0"/>
              <w:jc w:val="right"/>
            </w:pPr>
            <w:r>
              <w:rPr>
                <w:b/>
                <w:color w:val="1F4E79"/>
                <w:sz w:val="19"/>
              </w:rPr>
              <w:t>9 registros · medidas</w:t>
            </w:r>
          </w:p>
        </w:tc>
      </w:tr>
    </w:tbl>
    <w:p>
      <w:pPr>
        <w:spacing w:before="0" w:after="120"/>
      </w:pPr>
    </w:p>
    <w:p>
      <w:pPr>
        <w:spacing w:before="200" w:after="100"/>
        <w:pBdr>
          <w:bottom w:val="single" w:sz="12" w:space="4" w:color="1F4E79"/>
        </w:pBdr>
      </w:pPr>
      <w:r>
        <w:rPr>
          <w:b/>
          <w:color w:val="1F4E79"/>
          <w:sz w:val="26"/>
        </w:rPr>
        <w:t>1. Sumário Executivo</w:t>
      </w:r>
    </w:p>
    <w:p>
      <w:pPr>
        <w:spacing w:before="0" w:after="100"/>
        <w:jc w:val="both"/>
      </w:pPr>
      <w:r>
        <w:rPr>
          <w:b/>
          <w:sz w:val="20"/>
        </w:rPr>
        <w:t>Jurisprudência.</w:t>
      </w:r>
      <w:r>
        <w:rPr>
          <w:sz w:val="20"/>
        </w:rPr>
        <w:t xml:space="preserve"> No Supremo Tribunal Federal, quatro julgados de interface com a saúde: ADI 7.864/DF (poder regulamentar dos Conselhos de Medicina; inconstitucionalidade parcial da Resolução CFM nº 2.434/2025), ADI 6.081/SC (financiamento do SUS e vício de iniciativa em repasse por duodécimos ao Fundo Estadual de Saúde), ADC 80/DF (gratuidade de justiça — presunção de hipossuficiência até R$ 5.000, parâmetro processual para ações de saúde) e ADI 6.200/GO (proibição do amianto crisotila). No Superior Tribunal de Justiça, o REsp 2.089.439-SP (4ª Turma, Inf. 903) fixou que os índices da ANS para planos individuais não substituem o reajuste por sinistralidade em plano coletivo. Mantido o acompanhamento das afetações dos Temas 1.463 e 1.467 do STJ (saúde suplementar).</w:t>
      </w:r>
    </w:p>
    <w:p>
      <w:pPr>
        <w:spacing w:before="0" w:after="100"/>
        <w:jc w:val="both"/>
      </w:pPr>
      <w:r>
        <w:rPr>
          <w:b/>
          <w:sz w:val="20"/>
        </w:rPr>
        <w:t>Evidências (e-NatJus).</w:t>
      </w:r>
      <w:r>
        <w:rPr>
          <w:sz w:val="20"/>
        </w:rPr>
        <w:t xml:space="preserve"> Uma revisão sistemática nova no período — alfassebelipase para a doença de Wolman (ID 166), com certeza GRADE muito baixa, sem incorporação ao SUS nem ao rol da ANS — parâmetro técnico para pedidos de doença ultrarrara de altíssimo custo.</w:t>
      </w:r>
    </w:p>
    <w:p>
      <w:pPr>
        <w:spacing w:before="0" w:after="100"/>
        <w:jc w:val="both"/>
      </w:pPr>
      <w:r>
        <w:rPr>
          <w:b/>
          <w:sz w:val="20"/>
        </w:rPr>
        <w:t>Legislação.</w:t>
      </w:r>
      <w:r>
        <w:rPr>
          <w:sz w:val="20"/>
        </w:rPr>
        <w:t xml:space="preserve"> Sete leis federais, com destaque para a Lei nº 15.524/2026 (Estratégia Nacional de Controle e Avaliação da Qualidade da Assistência à Saúde prestada pela Iniciativa Privada, que acrescenta multa diária à Lei nº 9.782/1999). Registra-se a confirmação da vigência da Lei nº 15.484/2026 (relevância no recurso especial) desde 03/09/2026.</w:t>
      </w:r>
    </w:p>
    <w:p>
      <w:pPr>
        <w:spacing w:before="0" w:after="100"/>
        <w:jc w:val="both"/>
      </w:pPr>
      <w:r>
        <w:rPr>
          <w:b/>
          <w:sz w:val="20"/>
        </w:rPr>
        <w:t>Atos do Executivo.</w:t>
      </w:r>
      <w:r>
        <w:rPr>
          <w:sz w:val="20"/>
        </w:rPr>
        <w:t xml:space="preserve"> No Ministério da Saúde, portarias sobre financiamento do SUS em 2027 (GM/MS nº 12.252, em diálogo com a ADPF 854), política de transplantes, população quilombola, reconstrução mamária, cuidados paliativos e CEAF. A CONITEC incorporou quatro tecnologias (carbonato de lítio LP, cirurgia antiglaucomatosa por via angular, rituximabe no pênfigo vulgar e OCT no diagnóstico de glaucoma de ângulo fechado) e não incorporou outras duas, mantendo a não incorporação do burosumabe (Despacho GM/MS nº 88) e do nusinersena para AME 5q tipo 3 deambulantes (Relatório nº 1063). Na saúde suplementar, a RN nº 680/2026 atualizou o Rol (cinco tecnologias, vigência 01/10/2026), com cobertura de mamografia digital sem limite de idade e de DIU hormonal para endometriose.</w:t>
      </w:r>
    </w:p>
    <w:p>
      <w:pPr>
        <w:spacing w:before="0" w:after="100"/>
        <w:jc w:val="both"/>
      </w:pPr>
      <w:r>
        <w:rPr>
          <w:b/>
          <w:sz w:val="20"/>
        </w:rPr>
        <w:t>Iniciativas institucionais.</w:t>
      </w:r>
      <w:r>
        <w:rPr>
          <w:sz w:val="20"/>
        </w:rPr>
        <w:t xml:space="preserve"> Resultado preliminar da 4ª edição do Prêmio Justiça e Saúde (Fonajus/CNJ), anúncio do V Congresso do Fonajus (5–6/11, Rio de Janeiro). Na ANVISA, registros de novos medicamentos e vacinas, medidas sanitárias e nova etapa do SNCR a partir de 30/09/2026.</w:t>
      </w:r>
    </w:p>
    <w:p>
      <w:pPr>
        <w:spacing w:before="0" w:after="100"/>
        <w:jc w:val="both"/>
      </w:pPr>
      <w:r>
        <w:rPr>
          <w:b/>
          <w:sz w:val="20"/>
        </w:rPr>
        <w:t>Fontes.</w:t>
      </w:r>
      <w:r>
        <w:rPr>
          <w:sz w:val="20"/>
        </w:rPr>
        <w:t xml:space="preserve"> Citação às fontes primárias oficiais (Planalto, DOU, portais do STF, do STJ, da CONITEC, da ANS e da ANVISA), conforme o item 6.4 do Plano de Trabalho.</w:t>
      </w:r>
    </w:p>
    <w:p>
      <w:pPr>
        <w:spacing w:before="200" w:after="100"/>
        <w:pBdr>
          <w:bottom w:val="single" w:sz="12" w:space="4" w:color="1F4E79"/>
        </w:pBdr>
      </w:pPr>
      <w:r>
        <w:rPr>
          <w:b/>
          <w:color w:val="1F4E79"/>
          <w:sz w:val="26"/>
        </w:rPr>
        <w:t>2. Jurisprudência</w:t>
      </w:r>
    </w:p>
    <w:p>
      <w:pPr>
        <w:spacing w:before="140" w:after="80"/>
      </w:pPr>
      <w:r>
        <w:rPr>
          <w:b/>
          <w:color w:val="1F3864"/>
          <w:sz w:val="22"/>
        </w:rPr>
        <w:t>2.1 Jurisprudência</w:t>
      </w:r>
      <w:r>
        <w:t xml:space="preserve">  </w:t>
      </w:r>
      <w:r>
        <w:rPr>
          <w:b/>
          <w:color w:val="1F4E79"/>
          <w:sz w:val="14"/>
          <w:shd w:val="clear" w:color="auto" w:fill="D9E2F3"/>
        </w:rPr>
        <w:t xml:space="preserve"> SUS </w:t>
      </w:r>
    </w:p>
    <w:p>
      <w:pPr>
        <w:spacing w:before="100" w:after="60"/>
      </w:pPr>
      <w:r>
        <w:rPr>
          <w:b/>
          <w:color w:val="1F4E79"/>
          <w:sz w:val="20"/>
        </w:rPr>
        <w:t>Supremo Tribunal Federal (STF)</w:t>
      </w:r>
    </w:p>
    <w:tbl>
      <w:tblPr>
        <w:tblW w:type="auto" w:w="0"/>
        <w:jc w:val="center"/>
        <w:tblLook w:firstColumn="1" w:firstRow="1" w:lastColumn="0" w:lastRow="0" w:noHBand="0" w:noVBand="1" w:val="04A0"/>
        <w:tblBorders>
          <w:top w:val="single" w:sz="4" w:space="0" w:color="D7DDE8"/>
          <w:left w:val="single" w:sz="24" w:space="0" w:color="1F4E79"/>
          <w:bottom w:val="single" w:sz="4" w:space="0" w:color="D7DDE8"/>
          <w:right w:val="single" w:sz="4" w:space="0" w:color="D7DDE8"/>
          <w:insideH w:val="single" w:sz="4" w:space="0" w:color="D7DDE8"/>
          <w:insideV w:val="nil"/>
        </w:tblBorders>
      </w:tblPr>
      <w:tblGrid>
        <w:gridCol w:w="4968"/>
        <w:gridCol w:w="4968"/>
      </w:tblGrid>
      <w:tr>
        <w:tc>
          <w:tcPr>
            <w:tcW w:type="dxa" w:w="9936"/>
            <w:gridSpan w:val="2"/>
            <w:shd w:val="clear" w:color="auto" w:fill="F6F9FD"/>
            <w:tcMar>
              <w:top w:w="70" w:type="dxa"/>
              <w:left w:w="110" w:type="dxa"/>
              <w:bottom w:w="70" w:type="dxa"/>
              <w:right w:w="110" w:type="dxa"/>
            </w:tcMar>
          </w:tcPr>
          <w:p>
            <w:pPr>
              <w:spacing w:before="0" w:after="20"/>
            </w:pPr>
            <w:r>
              <w:rPr>
                <w:b/>
                <w:color w:val="1F4E79"/>
                <w:sz w:val="14"/>
                <w:shd w:val="clear" w:color="auto" w:fill="D9E2F3"/>
              </w:rPr>
              <w:t xml:space="preserve"> SUS </w:t>
            </w:r>
            <w:r>
              <w:rPr>
                <w:b/>
                <w:color w:val="556677"/>
                <w:sz w:val="15"/>
              </w:rPr>
              <w:t xml:space="preserve">  JURISPRUDÊNCIA — STF · ADI 7.864/DF</w:t>
            </w:r>
          </w:p>
          <w:p>
            <w:pPr>
              <w:spacing w:before="0" w:after="20"/>
            </w:pPr>
            <w:r>
              <w:rPr>
                <w:b/>
                <w:color w:val="1F3864"/>
                <w:sz w:val="21"/>
              </w:rPr>
              <w:t>ADI 7.864/DF — STF, Plenário — Rel. Min. Flávio Dino — j. 21/08/2026 (Inf. 1.227)</w:t>
            </w:r>
          </w:p>
          <w:p>
            <w:pPr>
              <w:spacing w:before="0" w:after="0"/>
            </w:pPr>
            <w:r>
              <w:rPr>
                <w:i/>
                <w:color w:val="37475A"/>
                <w:sz w:val="18"/>
              </w:rPr>
              <w:t>Poder regulamentar dos Conselhos de Medicina; inconstitucionalidade parcial da Resolução CFM nº 2.434/2025.</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Órgão Julgador</w:t>
            </w:r>
          </w:p>
        </w:tc>
        <w:tc>
          <w:tcPr>
            <w:tcW w:type="dxa" w:w="4968"/>
            <w:tcW w:w="7632" w:type="dxa"/>
            <w:tcMar>
              <w:top w:w="50" w:type="dxa"/>
              <w:left w:w="110" w:type="dxa"/>
              <w:bottom w:w="50" w:type="dxa"/>
              <w:right w:w="100" w:type="dxa"/>
            </w:tcMar>
            <w:vAlign w:val="top"/>
          </w:tcPr>
          <w:p>
            <w:pPr>
              <w:spacing w:before="0" w:after="0"/>
              <w:jc w:val="both"/>
            </w:pPr>
            <w:r>
              <w:rPr>
                <w:sz w:val="19"/>
              </w:rPr>
              <w:t>STF — Plenário</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Relator</w:t>
            </w:r>
          </w:p>
        </w:tc>
        <w:tc>
          <w:tcPr>
            <w:tcW w:type="dxa" w:w="4968"/>
            <w:tcW w:w="7632" w:type="dxa"/>
            <w:tcMar>
              <w:top w:w="50" w:type="dxa"/>
              <w:left w:w="110" w:type="dxa"/>
              <w:bottom w:w="50" w:type="dxa"/>
              <w:right w:w="100" w:type="dxa"/>
            </w:tcMar>
            <w:vAlign w:val="top"/>
          </w:tcPr>
          <w:p>
            <w:pPr>
              <w:spacing w:before="0" w:after="0"/>
              <w:jc w:val="both"/>
            </w:pPr>
            <w:r>
              <w:rPr>
                <w:sz w:val="19"/>
              </w:rPr>
              <w:t>Min. Flávio Dino</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Tese</w:t>
            </w:r>
          </w:p>
        </w:tc>
        <w:tc>
          <w:tcPr>
            <w:tcW w:type="dxa" w:w="4968"/>
            <w:tcW w:w="7632" w:type="dxa"/>
            <w:tcMar>
              <w:top w:w="50" w:type="dxa"/>
              <w:left w:w="110" w:type="dxa"/>
              <w:bottom w:w="50" w:type="dxa"/>
              <w:right w:w="100" w:type="dxa"/>
            </w:tcMar>
            <w:vAlign w:val="top"/>
          </w:tcPr>
          <w:p>
            <w:pPr>
              <w:spacing w:before="0" w:after="0"/>
              <w:jc w:val="both"/>
            </w:pPr>
            <w:r>
              <w:rPr>
                <w:sz w:val="19"/>
              </w:rPr>
              <w:t>Os Conselhos de Medicina podem fiscalizar aspectos éticos e técnicos do ato médico praticado por estudante sob supervisão, mas não lhes cabe interferir na organização das instituições de ensino nem criar sanções sem previsão legal. Declarada inconstitucional parte da Resolução CFM nº 2.434/2025 (remuneração de coordenadores; "interdição ética" de campos de estágio; vedação de convênios com instituições estrangeiras).</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Repercussão</w:t>
            </w:r>
          </w:p>
        </w:tc>
        <w:tc>
          <w:tcPr>
            <w:tcW w:type="dxa" w:w="4968"/>
            <w:tcW w:w="7632" w:type="dxa"/>
            <w:tcMar>
              <w:top w:w="50" w:type="dxa"/>
              <w:left w:w="110" w:type="dxa"/>
              <w:bottom w:w="50" w:type="dxa"/>
              <w:right w:w="100" w:type="dxa"/>
            </w:tcMar>
            <w:vAlign w:val="top"/>
          </w:tcPr>
          <w:p>
            <w:pPr>
              <w:spacing w:before="0" w:after="0"/>
              <w:jc w:val="both"/>
            </w:pPr>
            <w:r>
              <w:rPr>
                <w:sz w:val="19"/>
              </w:rPr>
              <w:t>Parâmetro para demandas sobre a atuação dos Conselhos de Medicina e a regulação do ensino e do exercício profissional (item II das instruções do Grupo de Trabalho).</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Fonte</w:t>
            </w:r>
          </w:p>
        </w:tc>
        <w:tc>
          <w:tcPr>
            <w:tcW w:type="dxa" w:w="4968"/>
            <w:tcW w:w="7632" w:type="dxa"/>
            <w:tcMar>
              <w:top w:w="50" w:type="dxa"/>
              <w:left w:w="110" w:type="dxa"/>
              <w:bottom w:w="50" w:type="dxa"/>
              <w:right w:w="100" w:type="dxa"/>
            </w:tcMar>
            <w:vAlign w:val="top"/>
          </w:tcPr>
          <w:p>
            <w:pPr>
              <w:spacing w:before="0" w:after="0"/>
              <w:jc w:val="both"/>
            </w:pPr>
            <w:hyperlink r:id="rId10">
              <w:r>
                <w:rPr>
                  <w:color w:val="1F4E79"/>
                  <w:u w:val="single"/>
                </w:rPr>
                <w:t xml:space="preserve">STF — Informativo nº 1.227</w:t>
              </w:r>
            </w:hyperlink>
          </w:p>
        </w:tc>
      </w:tr>
    </w:tbl>
    <w:p>
      <w:pPr>
        <w:spacing w:before="0" w:after="120"/>
      </w:pPr>
    </w:p>
    <w:tbl>
      <w:tblPr>
        <w:tblW w:type="auto" w:w="0"/>
        <w:jc w:val="center"/>
        <w:tblLook w:firstColumn="1" w:firstRow="1" w:lastColumn="0" w:lastRow="0" w:noHBand="0" w:noVBand="1" w:val="04A0"/>
        <w:tblBorders>
          <w:top w:val="single" w:sz="4" w:space="0" w:color="D7DDE8"/>
          <w:left w:val="single" w:sz="24" w:space="0" w:color="1F4E79"/>
          <w:bottom w:val="single" w:sz="4" w:space="0" w:color="D7DDE8"/>
          <w:right w:val="single" w:sz="4" w:space="0" w:color="D7DDE8"/>
          <w:insideH w:val="single" w:sz="4" w:space="0" w:color="D7DDE8"/>
          <w:insideV w:val="nil"/>
        </w:tblBorders>
      </w:tblPr>
      <w:tblGrid>
        <w:gridCol w:w="4968"/>
        <w:gridCol w:w="4968"/>
      </w:tblGrid>
      <w:tr>
        <w:tc>
          <w:tcPr>
            <w:tcW w:type="dxa" w:w="9936"/>
            <w:gridSpan w:val="2"/>
            <w:shd w:val="clear" w:color="auto" w:fill="F6F9FD"/>
            <w:tcMar>
              <w:top w:w="70" w:type="dxa"/>
              <w:left w:w="110" w:type="dxa"/>
              <w:bottom w:w="70" w:type="dxa"/>
              <w:right w:w="110" w:type="dxa"/>
            </w:tcMar>
          </w:tcPr>
          <w:p>
            <w:pPr>
              <w:spacing w:before="0" w:after="20"/>
            </w:pPr>
            <w:r>
              <w:rPr>
                <w:b/>
                <w:color w:val="1F4E79"/>
                <w:sz w:val="14"/>
                <w:shd w:val="clear" w:color="auto" w:fill="D9E2F3"/>
              </w:rPr>
              <w:t xml:space="preserve"> SUS </w:t>
            </w:r>
            <w:r>
              <w:rPr>
                <w:b/>
                <w:color w:val="556677"/>
                <w:sz w:val="15"/>
              </w:rPr>
              <w:t xml:space="preserve">  JURISPRUDÊNCIA — STF · ADI 6.081/SC</w:t>
            </w:r>
          </w:p>
          <w:p>
            <w:pPr>
              <w:spacing w:before="0" w:after="20"/>
            </w:pPr>
            <w:r>
              <w:rPr>
                <w:b/>
                <w:color w:val="1F3864"/>
                <w:sz w:val="21"/>
              </w:rPr>
              <w:t>ADI 6.081/SC — STF, Plenário — Rel. Min. Cristiano Zanin — j. 28/08/2026 (Inf. 1.228)</w:t>
            </w:r>
          </w:p>
          <w:p>
            <w:pPr>
              <w:spacing w:before="0" w:after="0"/>
            </w:pPr>
            <w:r>
              <w:rPr>
                <w:i/>
                <w:color w:val="37475A"/>
                <w:sz w:val="18"/>
              </w:rPr>
              <w:t>Financiamento do SUS: repasse de recursos da saúde por duodécimos ao Fundo Estadual de Saúde.</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Órgão Julgador</w:t>
            </w:r>
          </w:p>
        </w:tc>
        <w:tc>
          <w:tcPr>
            <w:tcW w:type="dxa" w:w="4968"/>
            <w:tcW w:w="7632" w:type="dxa"/>
            <w:tcMar>
              <w:top w:w="50" w:type="dxa"/>
              <w:left w:w="110" w:type="dxa"/>
              <w:bottom w:w="50" w:type="dxa"/>
              <w:right w:w="100" w:type="dxa"/>
            </w:tcMar>
            <w:vAlign w:val="top"/>
          </w:tcPr>
          <w:p>
            <w:pPr>
              <w:spacing w:before="0" w:after="0"/>
              <w:jc w:val="both"/>
            </w:pPr>
            <w:r>
              <w:rPr>
                <w:sz w:val="19"/>
              </w:rPr>
              <w:t>STF — Plenário</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Relator</w:t>
            </w:r>
          </w:p>
        </w:tc>
        <w:tc>
          <w:tcPr>
            <w:tcW w:type="dxa" w:w="4968"/>
            <w:tcW w:w="7632" w:type="dxa"/>
            <w:tcMar>
              <w:top w:w="50" w:type="dxa"/>
              <w:left w:w="110" w:type="dxa"/>
              <w:bottom w:w="50" w:type="dxa"/>
              <w:right w:w="100" w:type="dxa"/>
            </w:tcMar>
            <w:vAlign w:val="top"/>
          </w:tcPr>
          <w:p>
            <w:pPr>
              <w:spacing w:before="0" w:after="0"/>
              <w:jc w:val="both"/>
            </w:pPr>
            <w:r>
              <w:rPr>
                <w:sz w:val="19"/>
              </w:rPr>
              <w:t>Min. Cristiano Zanin</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Tese</w:t>
            </w:r>
          </w:p>
        </w:tc>
        <w:tc>
          <w:tcPr>
            <w:tcW w:type="dxa" w:w="4968"/>
            <w:tcW w:w="7632" w:type="dxa"/>
            <w:tcMar>
              <w:top w:w="50" w:type="dxa"/>
              <w:left w:w="110" w:type="dxa"/>
              <w:bottom w:w="50" w:type="dxa"/>
              <w:right w:w="100" w:type="dxa"/>
            </w:tcMar>
            <w:vAlign w:val="top"/>
          </w:tcPr>
          <w:p>
            <w:pPr>
              <w:spacing w:before="0" w:after="0"/>
              <w:jc w:val="both"/>
            </w:pPr>
            <w:r>
              <w:rPr>
                <w:sz w:val="19"/>
              </w:rPr>
              <w:t>Inconstitucional lei estadual de iniciativa parlamentar que obriga o Executivo a repassar, por duodécimos e até o 15º dia de cada mês, ao Fundo Estadual de Saúde, os recursos da saúde previstos na LOA — vício de iniciativa e ofensa à competência da União (art. 198 da CF; LC 141/2012, já com a redação da LC 227/2026).</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Repercussão</w:t>
            </w:r>
          </w:p>
        </w:tc>
        <w:tc>
          <w:tcPr>
            <w:tcW w:type="dxa" w:w="4968"/>
            <w:tcW w:w="7632" w:type="dxa"/>
            <w:tcMar>
              <w:top w:w="50" w:type="dxa"/>
              <w:left w:w="110" w:type="dxa"/>
              <w:bottom w:w="50" w:type="dxa"/>
              <w:right w:w="100" w:type="dxa"/>
            </w:tcMar>
            <w:vAlign w:val="top"/>
          </w:tcPr>
          <w:p>
            <w:pPr>
              <w:spacing w:before="0" w:after="0"/>
              <w:jc w:val="both"/>
            </w:pPr>
            <w:r>
              <w:rPr>
                <w:sz w:val="19"/>
              </w:rPr>
              <w:t>Parâmetro para demandas sobre financiamento e mínimo constitucional em saúde; dialoga com a Portaria GM/MS nº 12.252/2026 (execução de emendas ao SUS).</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Fonte</w:t>
            </w:r>
          </w:p>
        </w:tc>
        <w:tc>
          <w:tcPr>
            <w:tcW w:type="dxa" w:w="4968"/>
            <w:tcW w:w="7632" w:type="dxa"/>
            <w:tcMar>
              <w:top w:w="50" w:type="dxa"/>
              <w:left w:w="110" w:type="dxa"/>
              <w:bottom w:w="50" w:type="dxa"/>
              <w:right w:w="100" w:type="dxa"/>
            </w:tcMar>
            <w:vAlign w:val="top"/>
          </w:tcPr>
          <w:p>
            <w:pPr>
              <w:spacing w:before="0" w:after="0"/>
              <w:jc w:val="both"/>
            </w:pPr>
            <w:hyperlink r:id="rId11">
              <w:r>
                <w:rPr>
                  <w:color w:val="1F4E79"/>
                  <w:u w:val="single"/>
                </w:rPr>
                <w:t xml:space="preserve">STF — Informativo nº 1.228</w:t>
              </w:r>
            </w:hyperlink>
          </w:p>
        </w:tc>
      </w:tr>
    </w:tbl>
    <w:p>
      <w:pPr>
        <w:spacing w:before="0" w:after="120"/>
      </w:pPr>
    </w:p>
    <w:tbl>
      <w:tblPr>
        <w:tblW w:type="auto" w:w="0"/>
        <w:jc w:val="center"/>
        <w:tblLook w:firstColumn="1" w:firstRow="1" w:lastColumn="0" w:lastRow="0" w:noHBand="0" w:noVBand="1" w:val="04A0"/>
        <w:tblBorders>
          <w:top w:val="single" w:sz="4" w:space="0" w:color="D7DDE8"/>
          <w:left w:val="single" w:sz="24" w:space="0" w:color="1F4E79"/>
          <w:bottom w:val="single" w:sz="4" w:space="0" w:color="D7DDE8"/>
          <w:right w:val="single" w:sz="4" w:space="0" w:color="D7DDE8"/>
          <w:insideH w:val="single" w:sz="4" w:space="0" w:color="D7DDE8"/>
          <w:insideV w:val="nil"/>
        </w:tblBorders>
      </w:tblPr>
      <w:tblGrid>
        <w:gridCol w:w="4968"/>
        <w:gridCol w:w="4968"/>
      </w:tblGrid>
      <w:tr>
        <w:tc>
          <w:tcPr>
            <w:tcW w:type="dxa" w:w="9936"/>
            <w:gridSpan w:val="2"/>
            <w:shd w:val="clear" w:color="auto" w:fill="F6F9FD"/>
            <w:tcMar>
              <w:top w:w="70" w:type="dxa"/>
              <w:left w:w="110" w:type="dxa"/>
              <w:bottom w:w="70" w:type="dxa"/>
              <w:right w:w="110" w:type="dxa"/>
            </w:tcMar>
          </w:tcPr>
          <w:p>
            <w:pPr>
              <w:spacing w:before="0" w:after="20"/>
            </w:pPr>
            <w:r>
              <w:rPr>
                <w:b/>
                <w:color w:val="1F4E79"/>
                <w:sz w:val="14"/>
                <w:shd w:val="clear" w:color="auto" w:fill="D9E2F3"/>
              </w:rPr>
              <w:t xml:space="preserve"> SUS </w:t>
            </w:r>
            <w:r>
              <w:rPr>
                <w:b/>
                <w:color w:val="556677"/>
                <w:sz w:val="15"/>
              </w:rPr>
              <w:t xml:space="preserve">  JURISPRUDÊNCIA — STF · ADC 80/DF</w:t>
            </w:r>
          </w:p>
          <w:p>
            <w:pPr>
              <w:spacing w:before="0" w:after="20"/>
            </w:pPr>
            <w:r>
              <w:rPr>
                <w:b/>
                <w:color w:val="1F3864"/>
                <w:sz w:val="21"/>
              </w:rPr>
              <w:t>ADC 80/DF — STF, Plenário — Red. Min. Gilmar Mendes — j. 03/09/2026 (Inf. 1.228)</w:t>
            </w:r>
          </w:p>
          <w:p>
            <w:pPr>
              <w:spacing w:before="0" w:after="0"/>
            </w:pPr>
            <w:r>
              <w:rPr>
                <w:i/>
                <w:color w:val="37475A"/>
                <w:sz w:val="18"/>
              </w:rPr>
              <w:t>Gratuidade de justiça: presunção relativa de hipossuficiência para renda até R$ 5.000.</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Órgão Julgador</w:t>
            </w:r>
          </w:p>
        </w:tc>
        <w:tc>
          <w:tcPr>
            <w:tcW w:type="dxa" w:w="4968"/>
            <w:tcW w:w="7632" w:type="dxa"/>
            <w:tcMar>
              <w:top w:w="50" w:type="dxa"/>
              <w:left w:w="110" w:type="dxa"/>
              <w:bottom w:w="50" w:type="dxa"/>
              <w:right w:w="100" w:type="dxa"/>
            </w:tcMar>
            <w:vAlign w:val="top"/>
          </w:tcPr>
          <w:p>
            <w:pPr>
              <w:spacing w:before="0" w:after="0"/>
              <w:jc w:val="both"/>
            </w:pPr>
            <w:r>
              <w:rPr>
                <w:sz w:val="19"/>
              </w:rPr>
              <w:t>STF — Plenário</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Relator</w:t>
            </w:r>
          </w:p>
        </w:tc>
        <w:tc>
          <w:tcPr>
            <w:tcW w:type="dxa" w:w="4968"/>
            <w:tcW w:w="7632" w:type="dxa"/>
            <w:tcMar>
              <w:top w:w="50" w:type="dxa"/>
              <w:left w:w="110" w:type="dxa"/>
              <w:bottom w:w="50" w:type="dxa"/>
              <w:right w:w="100" w:type="dxa"/>
            </w:tcMar>
            <w:vAlign w:val="top"/>
          </w:tcPr>
          <w:p>
            <w:pPr>
              <w:spacing w:before="0" w:after="0"/>
              <w:jc w:val="both"/>
            </w:pPr>
            <w:r>
              <w:rPr>
                <w:sz w:val="19"/>
              </w:rPr>
              <w:t>Red. p/ acórdão Min. Gilmar Mendes</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Tese</w:t>
            </w:r>
          </w:p>
        </w:tc>
        <w:tc>
          <w:tcPr>
            <w:tcW w:type="dxa" w:w="4968"/>
            <w:tcW w:w="7632" w:type="dxa"/>
            <w:tcMar>
              <w:top w:w="50" w:type="dxa"/>
              <w:left w:w="110" w:type="dxa"/>
              <w:bottom w:w="50" w:type="dxa"/>
              <w:right w:w="100" w:type="dxa"/>
            </w:tcMar>
            <w:vAlign w:val="top"/>
          </w:tcPr>
          <w:p>
            <w:pPr>
              <w:spacing w:before="0" w:after="0"/>
              <w:jc w:val="both"/>
            </w:pPr>
            <w:r>
              <w:rPr>
                <w:sz w:val="19"/>
              </w:rPr>
              <w:t>Presunção relativa de hipossuficiência para quem recebe até R$ 5.000 (parâmetro da Lei nº 15.270/2025), estendida a todos os ramos do Judiciário; acima desse patamar, exige-se comprovação. Efeitos ex nunc.</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Repercussão</w:t>
            </w:r>
          </w:p>
        </w:tc>
        <w:tc>
          <w:tcPr>
            <w:tcW w:type="dxa" w:w="4968"/>
            <w:tcW w:w="7632" w:type="dxa"/>
            <w:tcMar>
              <w:top w:w="50" w:type="dxa"/>
              <w:left w:w="110" w:type="dxa"/>
              <w:bottom w:w="50" w:type="dxa"/>
              <w:right w:w="100" w:type="dxa"/>
            </w:tcMar>
            <w:vAlign w:val="top"/>
          </w:tcPr>
          <w:p>
            <w:pPr>
              <w:spacing w:before="0" w:after="0"/>
              <w:jc w:val="both"/>
            </w:pPr>
            <w:r>
              <w:rPr>
                <w:sz w:val="19"/>
              </w:rPr>
              <w:t>Parâmetro processual para autores de ações de saúde; dialoga com o julgado de gratuidade a paciente oncológico (Inf. STJ 896, Edição 6).</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Fonte</w:t>
            </w:r>
          </w:p>
        </w:tc>
        <w:tc>
          <w:tcPr>
            <w:tcW w:type="dxa" w:w="4968"/>
            <w:tcW w:w="7632" w:type="dxa"/>
            <w:tcMar>
              <w:top w:w="50" w:type="dxa"/>
              <w:left w:w="110" w:type="dxa"/>
              <w:bottom w:w="50" w:type="dxa"/>
              <w:right w:w="100" w:type="dxa"/>
            </w:tcMar>
            <w:vAlign w:val="top"/>
          </w:tcPr>
          <w:p>
            <w:pPr>
              <w:spacing w:before="0" w:after="0"/>
              <w:jc w:val="both"/>
            </w:pPr>
            <w:hyperlink r:id="rId11">
              <w:r>
                <w:rPr>
                  <w:color w:val="1F4E79"/>
                  <w:u w:val="single"/>
                </w:rPr>
                <w:t xml:space="preserve">STF — Informativo nº 1.228</w:t>
              </w:r>
            </w:hyperlink>
          </w:p>
        </w:tc>
      </w:tr>
    </w:tbl>
    <w:p>
      <w:pPr>
        <w:spacing w:before="0" w:after="120"/>
      </w:pPr>
    </w:p>
    <w:tbl>
      <w:tblPr>
        <w:tblW w:type="auto" w:w="0"/>
        <w:jc w:val="center"/>
        <w:tblLook w:firstColumn="1" w:firstRow="1" w:lastColumn="0" w:lastRow="0" w:noHBand="0" w:noVBand="1" w:val="04A0"/>
        <w:tblBorders>
          <w:top w:val="single" w:sz="4" w:space="0" w:color="D7DDE8"/>
          <w:left w:val="single" w:sz="24" w:space="0" w:color="1F4E79"/>
          <w:bottom w:val="single" w:sz="4" w:space="0" w:color="D7DDE8"/>
          <w:right w:val="single" w:sz="4" w:space="0" w:color="D7DDE8"/>
          <w:insideH w:val="single" w:sz="4" w:space="0" w:color="D7DDE8"/>
          <w:insideV w:val="nil"/>
        </w:tblBorders>
      </w:tblPr>
      <w:tblGrid>
        <w:gridCol w:w="4968"/>
        <w:gridCol w:w="4968"/>
      </w:tblGrid>
      <w:tr>
        <w:tc>
          <w:tcPr>
            <w:tcW w:type="dxa" w:w="9936"/>
            <w:gridSpan w:val="2"/>
            <w:shd w:val="clear" w:color="auto" w:fill="F6F9FD"/>
            <w:tcMar>
              <w:top w:w="70" w:type="dxa"/>
              <w:left w:w="110" w:type="dxa"/>
              <w:bottom w:w="70" w:type="dxa"/>
              <w:right w:w="110" w:type="dxa"/>
            </w:tcMar>
          </w:tcPr>
          <w:p>
            <w:pPr>
              <w:spacing w:before="0" w:after="20"/>
            </w:pPr>
            <w:r>
              <w:rPr>
                <w:b/>
                <w:color w:val="1F4E79"/>
                <w:sz w:val="14"/>
                <w:shd w:val="clear" w:color="auto" w:fill="D9E2F3"/>
              </w:rPr>
              <w:t xml:space="preserve"> SUS </w:t>
            </w:r>
            <w:r>
              <w:rPr>
                <w:b/>
                <w:color w:val="556677"/>
                <w:sz w:val="15"/>
              </w:rPr>
              <w:t xml:space="preserve">  JURISPRUDÊNCIA — STF · ADI 6.200/GO</w:t>
            </w:r>
          </w:p>
          <w:p>
            <w:pPr>
              <w:spacing w:before="0" w:after="20"/>
            </w:pPr>
            <w:r>
              <w:rPr>
                <w:b/>
                <w:color w:val="1F3864"/>
                <w:sz w:val="21"/>
              </w:rPr>
              <w:t>ADI 6.200/GO — STF, Plenário — Rel. Min. Alexandre de Moraes — j. 18/09/2026 (Inf. 1.230)</w:t>
            </w:r>
          </w:p>
          <w:p>
            <w:pPr>
              <w:spacing w:before="0" w:after="0"/>
            </w:pPr>
            <w:r>
              <w:rPr>
                <w:i/>
                <w:color w:val="37475A"/>
                <w:sz w:val="18"/>
              </w:rPr>
              <w:t>Amianto crisotila: inconstitucionalidade de lei estadual que autorizava extração e beneficiamento.</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Órgão Julgador</w:t>
            </w:r>
          </w:p>
        </w:tc>
        <w:tc>
          <w:tcPr>
            <w:tcW w:type="dxa" w:w="4968"/>
            <w:tcW w:w="7632" w:type="dxa"/>
            <w:tcMar>
              <w:top w:w="50" w:type="dxa"/>
              <w:left w:w="110" w:type="dxa"/>
              <w:bottom w:w="50" w:type="dxa"/>
              <w:right w:w="100" w:type="dxa"/>
            </w:tcMar>
            <w:vAlign w:val="top"/>
          </w:tcPr>
          <w:p>
            <w:pPr>
              <w:spacing w:before="0" w:after="0"/>
              <w:jc w:val="both"/>
            </w:pPr>
            <w:r>
              <w:rPr>
                <w:sz w:val="19"/>
              </w:rPr>
              <w:t>STF — Plenário</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Relator</w:t>
            </w:r>
          </w:p>
        </w:tc>
        <w:tc>
          <w:tcPr>
            <w:tcW w:type="dxa" w:w="4968"/>
            <w:tcW w:w="7632" w:type="dxa"/>
            <w:tcMar>
              <w:top w:w="50" w:type="dxa"/>
              <w:left w:w="110" w:type="dxa"/>
              <w:bottom w:w="50" w:type="dxa"/>
              <w:right w:w="100" w:type="dxa"/>
            </w:tcMar>
            <w:vAlign w:val="top"/>
          </w:tcPr>
          <w:p>
            <w:pPr>
              <w:spacing w:before="0" w:after="0"/>
              <w:jc w:val="both"/>
            </w:pPr>
            <w:r>
              <w:rPr>
                <w:sz w:val="19"/>
              </w:rPr>
              <w:t>Min. Alexandre de Moraes</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Tese</w:t>
            </w:r>
          </w:p>
        </w:tc>
        <w:tc>
          <w:tcPr>
            <w:tcW w:type="dxa" w:w="4968"/>
            <w:tcW w:w="7632" w:type="dxa"/>
            <w:tcMar>
              <w:top w:w="50" w:type="dxa"/>
              <w:left w:w="110" w:type="dxa"/>
              <w:bottom w:w="50" w:type="dxa"/>
              <w:right w:w="100" w:type="dxa"/>
            </w:tcMar>
            <w:vAlign w:val="top"/>
          </w:tcPr>
          <w:p>
            <w:pPr>
              <w:spacing w:before="0" w:after="0"/>
              <w:jc w:val="both"/>
            </w:pPr>
            <w:r>
              <w:rPr>
                <w:sz w:val="19"/>
              </w:rPr>
              <w:t>Inconstitucional a Lei de Goiás nº 20.514/2019, que autorizava a extração e o beneficiamento do amianto crisotila para exportação — ofensa à proteção da saúde, do trabalho e do meio ambiente; reafirmada a proibição nacional (ADI 3.470 e ADI 3.937).</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Repercussão</w:t>
            </w:r>
          </w:p>
        </w:tc>
        <w:tc>
          <w:tcPr>
            <w:tcW w:type="dxa" w:w="4968"/>
            <w:tcW w:w="7632" w:type="dxa"/>
            <w:tcMar>
              <w:top w:w="50" w:type="dxa"/>
              <w:left w:w="110" w:type="dxa"/>
              <w:bottom w:w="50" w:type="dxa"/>
              <w:right w:w="100" w:type="dxa"/>
            </w:tcMar>
            <w:vAlign w:val="top"/>
          </w:tcPr>
          <w:p>
            <w:pPr>
              <w:spacing w:before="0" w:after="0"/>
              <w:jc w:val="both"/>
            </w:pPr>
            <w:r>
              <w:rPr>
                <w:sz w:val="19"/>
              </w:rPr>
              <w:t>Interface com vigilância sanitária e saúde do trabalhador.</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Fonte</w:t>
            </w:r>
          </w:p>
        </w:tc>
        <w:tc>
          <w:tcPr>
            <w:tcW w:type="dxa" w:w="4968"/>
            <w:tcW w:w="7632" w:type="dxa"/>
            <w:tcMar>
              <w:top w:w="50" w:type="dxa"/>
              <w:left w:w="110" w:type="dxa"/>
              <w:bottom w:w="50" w:type="dxa"/>
              <w:right w:w="100" w:type="dxa"/>
            </w:tcMar>
            <w:vAlign w:val="top"/>
          </w:tcPr>
          <w:p>
            <w:pPr>
              <w:spacing w:before="0" w:after="0"/>
              <w:jc w:val="both"/>
            </w:pPr>
            <w:hyperlink r:id="rId12">
              <w:r>
                <w:rPr>
                  <w:color w:val="1F4E79"/>
                  <w:u w:val="single"/>
                </w:rPr>
                <w:t xml:space="preserve">STF — Informativo nº 1.230</w:t>
              </w:r>
            </w:hyperlink>
          </w:p>
        </w:tc>
      </w:tr>
    </w:tbl>
    <w:p>
      <w:pPr>
        <w:spacing w:before="0" w:after="120"/>
      </w:pPr>
    </w:p>
    <w:p>
      <w:pPr>
        <w:spacing w:before="100" w:after="60"/>
      </w:pPr>
      <w:r>
        <w:rPr>
          <w:b/>
          <w:color w:val="1F4E79"/>
          <w:sz w:val="20"/>
        </w:rPr>
        <w:t>Superior Tribunal de Justiça (STJ) — âmbito SUS</w:t>
      </w:r>
    </w:p>
    <w:tbl>
      <w:tblPr>
        <w:tblW w:type="auto" w:w="0"/>
        <w:jc w:val="center"/>
        <w:tblLook w:firstColumn="1" w:firstRow="1" w:lastColumn="0" w:lastRow="0" w:noHBand="0" w:noVBand="1" w:val="04A0"/>
        <w:tblBorders>
          <w:top w:val="single" w:sz="8" w:space="0" w:color="BF8F00"/>
          <w:left w:val="single" w:sz="18" w:space="0" w:color="BF8F00"/>
          <w:bottom w:val="single" w:sz="8" w:space="0" w:color="BF8F00"/>
          <w:right w:val="single" w:sz="8" w:space="0" w:color="BF8F00"/>
          <w:insideH w:val="nil"/>
          <w:insideV w:val="nil"/>
        </w:tblBorders>
      </w:tblPr>
      <w:tblGrid>
        <w:gridCol w:w="9936"/>
      </w:tblGrid>
      <w:tr>
        <w:tc>
          <w:tcPr>
            <w:tcW w:type="dxa" w:w="9936"/>
            <w:tcW w:w="9936" w:type="dxa"/>
            <w:shd w:val="clear" w:color="auto" w:fill="FFF2CB"/>
            <w:tcMar>
              <w:top w:w="90" w:type="dxa"/>
              <w:left w:w="110" w:type="dxa"/>
              <w:bottom w:w="90" w:type="dxa"/>
              <w:right w:w="110" w:type="dxa"/>
            </w:tcMar>
          </w:tcPr>
          <w:p>
            <w:pPr>
              <w:spacing w:before="0" w:after="60"/>
            </w:pPr>
            <w:r>
              <w:rPr>
                <w:b/>
                <w:color w:val="BF8F00"/>
                <w:sz w:val="17"/>
              </w:rPr>
              <w:t>NOTA — STJ | ÂMBITO SUS</w:t>
            </w:r>
          </w:p>
          <w:p>
            <w:pPr>
              <w:spacing w:before="0" w:after="0"/>
              <w:jc w:val="both"/>
            </w:pPr>
            <w:r>
              <w:rPr>
                <w:color w:val="1F3864"/>
                <w:sz w:val="19"/>
              </w:rPr>
              <w:t>Nos Informativos STJ nº 900 a 903 não se identificou tese de mérito sobre fornecimento ou dispensação de tecnologias no âmbito do SUS. Registra-se, para triagem, o REsp 1.537.571-SP (2ª Turma, Inf. 900): a ausência de advertência sobre a tolerância de variação de até 20% nos valores nutricionais não viola o dever de informação (CDC, art. 6º) — interface com vigilância sanitária. A subseção é mantida para preservar a comparabilidade entre as edições.</w:t>
            </w:r>
          </w:p>
        </w:tc>
      </w:tr>
    </w:tbl>
    <w:p>
      <w:pPr>
        <w:spacing w:before="0" w:after="120"/>
      </w:pPr>
    </w:p>
    <w:p>
      <w:pPr>
        <w:spacing w:before="140" w:after="80"/>
      </w:pPr>
      <w:r>
        <w:rPr>
          <w:b/>
          <w:color w:val="1F3864"/>
          <w:sz w:val="22"/>
        </w:rPr>
        <w:t>2.2 Jurisprudência</w:t>
      </w:r>
      <w:r>
        <w:t xml:space="preserve">  </w:t>
      </w:r>
      <w:r>
        <w:rPr>
          <w:b/>
          <w:color w:val="FFFFFF"/>
          <w:sz w:val="14"/>
          <w:shd w:val="clear" w:color="auto" w:fill="1F3864"/>
        </w:rPr>
        <w:t xml:space="preserve"> SAÚDE SUPLEMENTAR </w:t>
      </w:r>
    </w:p>
    <w:p>
      <w:pPr>
        <w:spacing w:before="100" w:after="60"/>
      </w:pPr>
      <w:r>
        <w:rPr>
          <w:b/>
          <w:color w:val="1F4E79"/>
          <w:sz w:val="20"/>
        </w:rPr>
        <w:t>Superior Tribunal de Justiça (STJ)</w:t>
      </w:r>
    </w:p>
    <w:tbl>
      <w:tblPr>
        <w:tblW w:type="auto" w:w="0"/>
        <w:jc w:val="center"/>
        <w:tblLook w:firstColumn="1" w:firstRow="1" w:lastColumn="0" w:lastRow="0" w:noHBand="0" w:noVBand="1" w:val="04A0"/>
        <w:tblBorders>
          <w:top w:val="single" w:sz="4" w:space="0" w:color="D7DDE8"/>
          <w:left w:val="single" w:sz="24" w:space="0" w:color="1F4E79"/>
          <w:bottom w:val="single" w:sz="4" w:space="0" w:color="D7DDE8"/>
          <w:right w:val="single" w:sz="4" w:space="0" w:color="D7DDE8"/>
          <w:insideH w:val="single" w:sz="4" w:space="0" w:color="D7DDE8"/>
          <w:insideV w:val="nil"/>
        </w:tblBorders>
      </w:tblPr>
      <w:tblGrid>
        <w:gridCol w:w="4968"/>
        <w:gridCol w:w="4968"/>
      </w:tblGrid>
      <w:tr>
        <w:tc>
          <w:tcPr>
            <w:tcW w:type="dxa" w:w="9936"/>
            <w:gridSpan w:val="2"/>
            <w:shd w:val="clear" w:color="auto" w:fill="F6F9FD"/>
            <w:tcMar>
              <w:top w:w="70" w:type="dxa"/>
              <w:left w:w="110" w:type="dxa"/>
              <w:bottom w:w="70" w:type="dxa"/>
              <w:right w:w="110" w:type="dxa"/>
            </w:tcMar>
          </w:tcPr>
          <w:p>
            <w:pPr>
              <w:spacing w:before="0" w:after="20"/>
            </w:pPr>
            <w:r>
              <w:rPr>
                <w:b/>
                <w:color w:val="FFFFFF"/>
                <w:sz w:val="14"/>
                <w:shd w:val="clear" w:color="auto" w:fill="1F3864"/>
              </w:rPr>
              <w:t xml:space="preserve"> SAÚDE SUPLEMENTAR </w:t>
            </w:r>
            <w:r>
              <w:rPr>
                <w:b/>
                <w:color w:val="556677"/>
                <w:sz w:val="15"/>
              </w:rPr>
              <w:t xml:space="preserve">  JURISPRUDÊNCIA — STJ · RESP 2.089.439-SP</w:t>
            </w:r>
          </w:p>
          <w:p>
            <w:pPr>
              <w:spacing w:before="0" w:after="20"/>
            </w:pPr>
            <w:r>
              <w:rPr>
                <w:b/>
                <w:color w:val="1F3864"/>
                <w:sz w:val="21"/>
              </w:rPr>
              <w:t>REsp 2.089.439-SP — STJ, 4ª Turma — Rel. Min. João Otávio de Noronha — Inf. 903 (29/09/2026)</w:t>
            </w:r>
          </w:p>
          <w:p>
            <w:pPr>
              <w:spacing w:before="0" w:after="0"/>
            </w:pPr>
            <w:r>
              <w:rPr>
                <w:i/>
                <w:color w:val="37475A"/>
                <w:sz w:val="18"/>
              </w:rPr>
              <w:t>Planos coletivos: reajuste por sinistralidade e cálculo atuarial.</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Órgão Julgador</w:t>
            </w:r>
          </w:p>
        </w:tc>
        <w:tc>
          <w:tcPr>
            <w:tcW w:type="dxa" w:w="4968"/>
            <w:tcW w:w="7632" w:type="dxa"/>
            <w:tcMar>
              <w:top w:w="50" w:type="dxa"/>
              <w:left w:w="110" w:type="dxa"/>
              <w:bottom w:w="50" w:type="dxa"/>
              <w:right w:w="100" w:type="dxa"/>
            </w:tcMar>
            <w:vAlign w:val="top"/>
          </w:tcPr>
          <w:p>
            <w:pPr>
              <w:spacing w:before="0" w:after="0"/>
              <w:jc w:val="both"/>
            </w:pPr>
            <w:r>
              <w:rPr>
                <w:sz w:val="19"/>
              </w:rPr>
              <w:t>STJ — Quarta Turma</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Relator</w:t>
            </w:r>
          </w:p>
        </w:tc>
        <w:tc>
          <w:tcPr>
            <w:tcW w:type="dxa" w:w="4968"/>
            <w:tcW w:w="7632" w:type="dxa"/>
            <w:tcMar>
              <w:top w:w="50" w:type="dxa"/>
              <w:left w:w="110" w:type="dxa"/>
              <w:bottom w:w="50" w:type="dxa"/>
              <w:right w:w="100" w:type="dxa"/>
            </w:tcMar>
            <w:vAlign w:val="top"/>
          </w:tcPr>
          <w:p>
            <w:pPr>
              <w:spacing w:before="0" w:after="0"/>
              <w:jc w:val="both"/>
            </w:pPr>
            <w:r>
              <w:rPr>
                <w:sz w:val="19"/>
              </w:rPr>
              <w:t>Min. João Otávio de Noronha</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Tese</w:t>
            </w:r>
          </w:p>
        </w:tc>
        <w:tc>
          <w:tcPr>
            <w:tcW w:type="dxa" w:w="4968"/>
            <w:tcW w:w="7632" w:type="dxa"/>
            <w:tcMar>
              <w:top w:w="50" w:type="dxa"/>
              <w:left w:w="110" w:type="dxa"/>
              <w:bottom w:w="50" w:type="dxa"/>
              <w:right w:w="100" w:type="dxa"/>
            </w:tcMar>
            <w:vAlign w:val="top"/>
          </w:tcPr>
          <w:p>
            <w:pPr>
              <w:spacing w:before="0" w:after="0"/>
              <w:jc w:val="both"/>
            </w:pPr>
            <w:r>
              <w:rPr>
                <w:sz w:val="19"/>
              </w:rPr>
              <w:t>Os índices anuais da ANS para planos individuais não substituem o reajuste por sinistralidade em plano coletivo; reconhecida a abusividade, o percentual é apurado por cálculo atuarial na fase de cumprimento de sentença.</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Repercussão</w:t>
            </w:r>
          </w:p>
        </w:tc>
        <w:tc>
          <w:tcPr>
            <w:tcW w:type="dxa" w:w="4968"/>
            <w:tcW w:w="7632" w:type="dxa"/>
            <w:tcMar>
              <w:top w:w="50" w:type="dxa"/>
              <w:left w:w="110" w:type="dxa"/>
              <w:bottom w:w="50" w:type="dxa"/>
              <w:right w:w="100" w:type="dxa"/>
            </w:tcMar>
            <w:vAlign w:val="top"/>
          </w:tcPr>
          <w:p>
            <w:pPr>
              <w:spacing w:before="0" w:after="0"/>
              <w:jc w:val="both"/>
            </w:pPr>
            <w:r>
              <w:rPr>
                <w:sz w:val="19"/>
              </w:rPr>
              <w:t>Parâmetro para litígios de reajuste em planos coletivos (saúde suplementar), predominantemente na Justiça Estadual.</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Fonte</w:t>
            </w:r>
          </w:p>
        </w:tc>
        <w:tc>
          <w:tcPr>
            <w:tcW w:type="dxa" w:w="4968"/>
            <w:tcW w:w="7632" w:type="dxa"/>
            <w:tcMar>
              <w:top w:w="50" w:type="dxa"/>
              <w:left w:w="110" w:type="dxa"/>
              <w:bottom w:w="50" w:type="dxa"/>
              <w:right w:w="100" w:type="dxa"/>
            </w:tcMar>
            <w:vAlign w:val="top"/>
          </w:tcPr>
          <w:p>
            <w:pPr>
              <w:spacing w:before="0" w:after="0"/>
              <w:jc w:val="both"/>
            </w:pPr>
            <w:hyperlink r:id="rId13">
              <w:r>
                <w:rPr>
                  <w:color w:val="1F4E79"/>
                  <w:u w:val="single"/>
                </w:rPr>
                <w:t xml:space="preserve">STJ — Informativo nº 903 (PDF)</w:t>
              </w:r>
            </w:hyperlink>
          </w:p>
        </w:tc>
      </w:tr>
    </w:tbl>
    <w:p>
      <w:pPr>
        <w:spacing w:before="0" w:after="120"/>
      </w:pPr>
    </w:p>
    <w:tbl>
      <w:tblPr>
        <w:tblW w:type="auto" w:w="0"/>
        <w:jc w:val="center"/>
        <w:tblLook w:firstColumn="1" w:firstRow="1" w:lastColumn="0" w:lastRow="0" w:noHBand="0" w:noVBand="1" w:val="04A0"/>
        <w:tblBorders>
          <w:top w:val="single" w:sz="8" w:space="0" w:color="BF8F00"/>
          <w:left w:val="single" w:sz="18" w:space="0" w:color="BF8F00"/>
          <w:bottom w:val="single" w:sz="8" w:space="0" w:color="BF8F00"/>
          <w:right w:val="single" w:sz="8" w:space="0" w:color="BF8F00"/>
          <w:insideH w:val="nil"/>
          <w:insideV w:val="nil"/>
        </w:tblBorders>
      </w:tblPr>
      <w:tblGrid>
        <w:gridCol w:w="9936"/>
      </w:tblGrid>
      <w:tr>
        <w:tc>
          <w:tcPr>
            <w:tcW w:type="dxa" w:w="9936"/>
            <w:tcW w:w="9936" w:type="dxa"/>
            <w:shd w:val="clear" w:color="auto" w:fill="FFF2CB"/>
            <w:tcMar>
              <w:top w:w="90" w:type="dxa"/>
              <w:left w:w="110" w:type="dxa"/>
              <w:bottom w:w="90" w:type="dxa"/>
              <w:right w:w="110" w:type="dxa"/>
            </w:tcMar>
          </w:tcPr>
          <w:p>
            <w:pPr>
              <w:spacing w:before="0" w:after="60"/>
            </w:pPr>
            <w:r>
              <w:rPr>
                <w:b/>
                <w:color w:val="BF8F00"/>
                <w:sz w:val="17"/>
              </w:rPr>
              <w:t>ACOMPANHAMENTO — TEMAS REPETITIVOS (STJ)</w:t>
            </w:r>
          </w:p>
          <w:p>
            <w:pPr>
              <w:spacing w:before="0" w:after="0"/>
              <w:jc w:val="both"/>
            </w:pPr>
            <w:r>
              <w:rPr>
                <w:color w:val="1F3864"/>
                <w:sz w:val="19"/>
              </w:rPr>
              <w:t>Temas 1.463 e 1.467 (afetados em 30/06/2026): musicoterapia no transtorno do espectro autista (TEA) e mora da operadora equiparada à recusa de cobertura. Sem julgamento de mérito até o fechamento do ciclo. Mantido o acompanhamento.</w:t>
            </w:r>
          </w:p>
        </w:tc>
      </w:tr>
    </w:tbl>
    <w:p>
      <w:pPr>
        <w:spacing w:before="0" w:after="120"/>
      </w:pPr>
    </w:p>
    <w:p>
      <w:pPr>
        <w:spacing w:before="100" w:after="60"/>
      </w:pPr>
      <w:r>
        <w:rPr>
          <w:b/>
          <w:color w:val="1F4E79"/>
          <w:sz w:val="20"/>
        </w:rPr>
        <w:t>Tribunais Regionais Federais e Tribunais de Justiça</w:t>
      </w:r>
    </w:p>
    <w:tbl>
      <w:tblPr>
        <w:tblW w:type="auto" w:w="0"/>
        <w:jc w:val="center"/>
        <w:tblLook w:firstColumn="1" w:firstRow="1" w:lastColumn="0" w:lastRow="0" w:noHBand="0" w:noVBand="1" w:val="04A0"/>
        <w:tblBorders>
          <w:top w:val="single" w:sz="8" w:space="0" w:color="BF8F00"/>
          <w:left w:val="single" w:sz="18" w:space="0" w:color="BF8F00"/>
          <w:bottom w:val="single" w:sz="8" w:space="0" w:color="BF8F00"/>
          <w:right w:val="single" w:sz="8" w:space="0" w:color="BF8F00"/>
          <w:insideH w:val="nil"/>
          <w:insideV w:val="nil"/>
        </w:tblBorders>
      </w:tblPr>
      <w:tblGrid>
        <w:gridCol w:w="9936"/>
      </w:tblGrid>
      <w:tr>
        <w:tc>
          <w:tcPr>
            <w:tcW w:type="dxa" w:w="9936"/>
            <w:tcW w:w="9936" w:type="dxa"/>
            <w:shd w:val="clear" w:color="auto" w:fill="FFF2CB"/>
            <w:tcMar>
              <w:top w:w="90" w:type="dxa"/>
              <w:left w:w="110" w:type="dxa"/>
              <w:bottom w:w="90" w:type="dxa"/>
              <w:right w:w="110" w:type="dxa"/>
            </w:tcMar>
          </w:tcPr>
          <w:p>
            <w:pPr>
              <w:spacing w:before="0" w:after="60"/>
            </w:pPr>
            <w:r>
              <w:rPr>
                <w:b/>
                <w:color w:val="BF8F00"/>
                <w:sz w:val="17"/>
              </w:rPr>
              <w:t>CURADORIA MEDIANTE CONTRIBUIÇÃO — TRFS E TJS</w:t>
            </w:r>
          </w:p>
          <w:p>
            <w:pPr>
              <w:spacing w:before="0" w:after="0"/>
              <w:jc w:val="both"/>
            </w:pPr>
            <w:r>
              <w:rPr>
                <w:color w:val="1F3864"/>
                <w:sz w:val="19"/>
              </w:rPr>
              <w:t>A curadoria desta seção é realizada mediante contribuição. Encaminhe julgados e iniciativas ao Grupo de Trabalho em Direito da Saúde — TRF3.</w:t>
            </w:r>
          </w:p>
        </w:tc>
      </w:tr>
    </w:tbl>
    <w:p>
      <w:pPr>
        <w:spacing w:before="0" w:after="120"/>
      </w:pPr>
    </w:p>
    <w:tbl>
      <w:tblPr>
        <w:tblW w:type="auto" w:w="0"/>
        <w:jc w:val="center"/>
        <w:tblLook w:firstColumn="1" w:firstRow="1" w:lastColumn="0" w:lastRow="0" w:noHBand="0" w:noVBand="1" w:val="04A0"/>
        <w:tblBorders>
          <w:top w:val="single" w:sz="4" w:space="0" w:color="D7DDE8"/>
          <w:left w:val="single" w:sz="12" w:space="0" w:color="8EA9C1"/>
          <w:bottom w:val="single" w:sz="4" w:space="0" w:color="D7DDE8"/>
          <w:right w:val="single" w:sz="4" w:space="0" w:color="D7DDE8"/>
          <w:insideH w:val="nil"/>
          <w:insideV w:val="nil"/>
        </w:tblBorders>
      </w:tblPr>
      <w:tblGrid>
        <w:gridCol w:w="9936"/>
      </w:tblGrid>
      <w:tr>
        <w:tc>
          <w:tcPr>
            <w:tcW w:type="dxa" w:w="9936"/>
            <w:tcW w:w="9936" w:type="dxa"/>
            <w:shd w:val="clear" w:color="auto" w:fill="F2F4F8"/>
            <w:tcMar>
              <w:top w:w="60" w:type="dxa"/>
              <w:left w:w="100" w:type="dxa"/>
              <w:bottom w:w="60" w:type="dxa"/>
              <w:right w:w="100" w:type="dxa"/>
            </w:tcMar>
          </w:tcPr>
          <w:p>
            <w:pPr>
              <w:spacing w:before="0" w:after="0"/>
              <w:jc w:val="both"/>
            </w:pPr>
            <w:r>
              <w:rPr>
                <w:b/>
                <w:i/>
                <w:sz w:val="19"/>
              </w:rPr>
              <w:t>Informativos da semana do fechamento (06/10/2026):</w:t>
            </w:r>
            <w:r>
              <w:rPr>
                <w:i/>
                <w:sz w:val="19"/>
              </w:rPr>
              <w:t xml:space="preserve"> o STF nº 1.231 (divulgado em 05/10) e o STJ nº 904 (divulgado em 06/10) foram triados e não trazem julgado com interface em Direito da Saúde.</w:t>
            </w:r>
          </w:p>
        </w:tc>
      </w:tr>
    </w:tbl>
    <w:p>
      <w:pPr>
        <w:spacing w:before="0" w:after="120"/>
      </w:pPr>
    </w:p>
    <w:p>
      <w:pPr>
        <w:spacing w:before="200" w:after="100"/>
        <w:pBdr>
          <w:bottom w:val="single" w:sz="12" w:space="4" w:color="1F4E79"/>
        </w:pBdr>
      </w:pPr>
      <w:r>
        <w:rPr>
          <w:b/>
          <w:color w:val="1F4E79"/>
          <w:sz w:val="26"/>
        </w:rPr>
        <w:t>3. E-NatJus / Evidências Técnico-Científicas</w:t>
      </w:r>
    </w:p>
    <w:tbl>
      <w:tblPr>
        <w:tblW w:type="auto" w:w="0"/>
        <w:jc w:val="center"/>
        <w:tblLook w:firstColumn="1" w:firstRow="1" w:lastColumn="0" w:lastRow="0" w:noHBand="0" w:noVBand="1" w:val="04A0"/>
        <w:tblBorders>
          <w:top w:val="single" w:sz="8" w:space="0" w:color="BF8F00"/>
          <w:left w:val="single" w:sz="18" w:space="0" w:color="BF8F00"/>
          <w:bottom w:val="single" w:sz="8" w:space="0" w:color="BF8F00"/>
          <w:right w:val="single" w:sz="8" w:space="0" w:color="BF8F00"/>
          <w:insideH w:val="nil"/>
          <w:insideV w:val="nil"/>
        </w:tblBorders>
      </w:tblPr>
      <w:tblGrid>
        <w:gridCol w:w="9936"/>
      </w:tblGrid>
      <w:tr>
        <w:tc>
          <w:tcPr>
            <w:tcW w:type="dxa" w:w="9936"/>
            <w:tcW w:w="9936" w:type="dxa"/>
            <w:shd w:val="clear" w:color="auto" w:fill="FFF2CB"/>
            <w:tcMar>
              <w:top w:w="90" w:type="dxa"/>
              <w:left w:w="110" w:type="dxa"/>
              <w:bottom w:w="90" w:type="dxa"/>
              <w:right w:w="110" w:type="dxa"/>
            </w:tcMar>
          </w:tcPr>
          <w:p>
            <w:pPr>
              <w:spacing w:before="0" w:after="60"/>
            </w:pPr>
            <w:r>
              <w:rPr>
                <w:b/>
                <w:color w:val="BF8F00"/>
                <w:sz w:val="17"/>
              </w:rPr>
              <w:t>E-NATJUS — REVISÕES SISTEMÁTICAS</w:t>
            </w:r>
          </w:p>
          <w:p>
            <w:pPr>
              <w:spacing w:before="0" w:after="0"/>
              <w:jc w:val="both"/>
            </w:pPr>
            <w:r>
              <w:rPr>
                <w:color w:val="1F3864"/>
                <w:sz w:val="19"/>
              </w:rPr>
              <w:t>Listagem conferida na Área Pública do e-NatJus. Uma revisão nova no período; casimersena (ID 165) e volanesorsena (ID 164) já constaram da Edição 6.</w:t>
            </w:r>
          </w:p>
        </w:tc>
      </w:tr>
    </w:tbl>
    <w:p>
      <w:pPr>
        <w:spacing w:before="0" w:after="120"/>
      </w:pPr>
    </w:p>
    <w:tbl>
      <w:tblPr>
        <w:tblW w:type="auto" w:w="0"/>
        <w:jc w:val="center"/>
        <w:tblLook w:firstColumn="1" w:firstRow="1" w:lastColumn="0" w:lastRow="0" w:noHBand="0" w:noVBand="1" w:val="04A0"/>
        <w:tblBorders>
          <w:top w:val="single" w:sz="4" w:space="0" w:color="D7DDE8"/>
          <w:left w:val="single" w:sz="24" w:space="0" w:color="1F4E79"/>
          <w:bottom w:val="single" w:sz="4" w:space="0" w:color="D7DDE8"/>
          <w:right w:val="single" w:sz="4" w:space="0" w:color="D7DDE8"/>
          <w:insideH w:val="single" w:sz="4" w:space="0" w:color="D7DDE8"/>
          <w:insideV w:val="nil"/>
        </w:tblBorders>
      </w:tblPr>
      <w:tblGrid>
        <w:gridCol w:w="4968"/>
        <w:gridCol w:w="4968"/>
      </w:tblGrid>
      <w:tr>
        <w:tc>
          <w:tcPr>
            <w:tcW w:type="dxa" w:w="9936"/>
            <w:gridSpan w:val="2"/>
            <w:shd w:val="clear" w:color="auto" w:fill="F6F9FD"/>
            <w:tcMar>
              <w:top w:w="70" w:type="dxa"/>
              <w:left w:w="110" w:type="dxa"/>
              <w:bottom w:w="70" w:type="dxa"/>
              <w:right w:w="110" w:type="dxa"/>
            </w:tcMar>
          </w:tcPr>
          <w:p>
            <w:pPr>
              <w:spacing w:before="0" w:after="20"/>
            </w:pPr>
            <w:r>
              <w:rPr>
                <w:b/>
                <w:color w:val="1F4E79"/>
                <w:sz w:val="14"/>
                <w:shd w:val="clear" w:color="auto" w:fill="D9E2F3"/>
              </w:rPr>
              <w:t xml:space="preserve"> SUS </w:t>
            </w:r>
            <w:r>
              <w:rPr>
                <w:b/>
                <w:color w:val="556677"/>
                <w:sz w:val="15"/>
              </w:rPr>
              <w:t xml:space="preserve">  REVISÃO SISTEMÁTICA E-NATJUS — ID 166 (NATS/NEV-HSL)</w:t>
            </w:r>
          </w:p>
          <w:p>
            <w:pPr>
              <w:spacing w:before="0" w:after="20"/>
            </w:pPr>
            <w:r>
              <w:rPr>
                <w:b/>
                <w:color w:val="1F3864"/>
                <w:sz w:val="21"/>
              </w:rPr>
              <w:t>Alfassebelipase (Kanuma®) — doença de Wolman — disponibilizada em 23/09/2026</w:t>
            </w:r>
          </w:p>
          <w:p>
            <w:pPr>
              <w:spacing w:before="0" w:after="0"/>
            </w:pPr>
            <w:r>
              <w:rPr>
                <w:i/>
                <w:color w:val="37475A"/>
                <w:sz w:val="18"/>
              </w:rPr>
              <w:t>Terapia de reposição enzimática na deficiência de lipase ácida lisossomal de início precoce; certeza GRADE muito baixa.</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Tecnologia</w:t>
            </w:r>
          </w:p>
        </w:tc>
        <w:tc>
          <w:tcPr>
            <w:tcW w:type="dxa" w:w="4968"/>
            <w:tcW w:w="7632" w:type="dxa"/>
            <w:tcMar>
              <w:top w:w="50" w:type="dxa"/>
              <w:left w:w="110" w:type="dxa"/>
              <w:bottom w:w="50" w:type="dxa"/>
              <w:right w:w="100" w:type="dxa"/>
            </w:tcMar>
            <w:vAlign w:val="top"/>
          </w:tcPr>
          <w:p>
            <w:pPr>
              <w:spacing w:before="0" w:after="0"/>
              <w:jc w:val="both"/>
            </w:pPr>
            <w:r>
              <w:rPr>
                <w:sz w:val="19"/>
              </w:rPr>
              <w:t>Alfassebelipase (Kanuma®) — registro ativo na ANVISA (venc. 2027)</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Condição</w:t>
            </w:r>
          </w:p>
        </w:tc>
        <w:tc>
          <w:tcPr>
            <w:tcW w:type="dxa" w:w="4968"/>
            <w:tcW w:w="7632" w:type="dxa"/>
            <w:tcMar>
              <w:top w:w="50" w:type="dxa"/>
              <w:left w:w="110" w:type="dxa"/>
              <w:bottom w:w="50" w:type="dxa"/>
              <w:right w:w="100" w:type="dxa"/>
            </w:tcMar>
            <w:vAlign w:val="top"/>
          </w:tcPr>
          <w:p>
            <w:pPr>
              <w:spacing w:before="0" w:after="0"/>
              <w:jc w:val="both"/>
            </w:pPr>
            <w:r>
              <w:rPr>
                <w:sz w:val="19"/>
              </w:rPr>
              <w:t>Deficiência de lipase ácida lisossomal de início precoce (doença de Wolman)</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Evidência</w:t>
            </w:r>
          </w:p>
        </w:tc>
        <w:tc>
          <w:tcPr>
            <w:tcW w:type="dxa" w:w="4968"/>
            <w:tcW w:w="7632" w:type="dxa"/>
            <w:tcMar>
              <w:top w:w="50" w:type="dxa"/>
              <w:left w:w="110" w:type="dxa"/>
              <w:bottom w:w="50" w:type="dxa"/>
              <w:right w:w="100" w:type="dxa"/>
            </w:tcMar>
            <w:vAlign w:val="top"/>
          </w:tcPr>
          <w:p>
            <w:pPr>
              <w:spacing w:before="0" w:after="0"/>
              <w:jc w:val="both"/>
            </w:pPr>
            <w:r>
              <w:rPr>
                <w:sz w:val="19"/>
              </w:rPr>
              <w:t>Base: um coorte retrospectivo francês (n=17), seguimento de 14 anos. Certeza GRADE muito baixa para mortalidade e hospitalização; função hepática, estado nutricional e eventos adversos não avaliados.</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Situação SUS/ANS</w:t>
            </w:r>
          </w:p>
        </w:tc>
        <w:tc>
          <w:tcPr>
            <w:tcW w:type="dxa" w:w="4968"/>
            <w:tcW w:w="7632" w:type="dxa"/>
            <w:tcMar>
              <w:top w:w="50" w:type="dxa"/>
              <w:left w:w="110" w:type="dxa"/>
              <w:bottom w:w="50" w:type="dxa"/>
              <w:right w:w="100" w:type="dxa"/>
            </w:tcMar>
            <w:vAlign w:val="top"/>
          </w:tcPr>
          <w:p>
            <w:pPr>
              <w:spacing w:before="0" w:after="0"/>
              <w:jc w:val="both"/>
            </w:pPr>
            <w:r>
              <w:rPr>
                <w:sz w:val="19"/>
              </w:rPr>
              <w:t>Sem incorporação ao SUS nem no rol da ANS.</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Repercussão</w:t>
            </w:r>
          </w:p>
        </w:tc>
        <w:tc>
          <w:tcPr>
            <w:tcW w:type="dxa" w:w="4968"/>
            <w:tcW w:w="7632" w:type="dxa"/>
            <w:tcMar>
              <w:top w:w="50" w:type="dxa"/>
              <w:left w:w="110" w:type="dxa"/>
              <w:bottom w:w="50" w:type="dxa"/>
              <w:right w:w="100" w:type="dxa"/>
            </w:tcMar>
            <w:vAlign w:val="top"/>
          </w:tcPr>
          <w:p>
            <w:pPr>
              <w:spacing w:before="0" w:after="0"/>
              <w:jc w:val="both"/>
            </w:pPr>
            <w:r>
              <w:rPr>
                <w:sz w:val="19"/>
              </w:rPr>
              <w:t>Parâmetro técnico para pedidos de fornecimento em doença ultrarrara de altíssimo custo.</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Fonte</w:t>
            </w:r>
          </w:p>
        </w:tc>
        <w:tc>
          <w:tcPr>
            <w:tcW w:type="dxa" w:w="4968"/>
            <w:tcW w:w="7632" w:type="dxa"/>
            <w:tcMar>
              <w:top w:w="50" w:type="dxa"/>
              <w:left w:w="110" w:type="dxa"/>
              <w:bottom w:w="50" w:type="dxa"/>
              <w:right w:w="100" w:type="dxa"/>
            </w:tcMar>
            <w:vAlign w:val="top"/>
          </w:tcPr>
          <w:p>
            <w:pPr>
              <w:spacing w:before="0" w:after="0"/>
              <w:jc w:val="both"/>
            </w:pPr>
            <w:hyperlink r:id="rId14">
              <w:r>
                <w:rPr>
                  <w:color w:val="1F4E79"/>
                  <w:u w:val="single"/>
                </w:rPr>
                <w:t xml:space="preserve">e-NatJus — documento (download)</w:t>
              </w:r>
            </w:hyperlink>
            <w:r>
              <w:rPr>
                <w:sz w:val="19"/>
              </w:rPr>
              <w:t xml:space="preserve"> · </w:t>
            </w:r>
            <w:hyperlink r:id="rId15">
              <w:r>
                <w:rPr>
                  <w:color w:val="1F4E79"/>
                  <w:u w:val="single"/>
                </w:rPr>
                <w:t xml:space="preserve">Área Pública — listagem</w:t>
              </w:r>
            </w:hyperlink>
          </w:p>
        </w:tc>
      </w:tr>
    </w:tbl>
    <w:p>
      <w:pPr>
        <w:spacing w:before="0" w:after="120"/>
      </w:pPr>
    </w:p>
    <w:p>
      <w:pPr>
        <w:spacing w:before="200" w:after="100"/>
        <w:pBdr>
          <w:bottom w:val="single" w:sz="12" w:space="4" w:color="1F4E79"/>
        </w:pBdr>
      </w:pPr>
      <w:r>
        <w:rPr>
          <w:b/>
          <w:color w:val="1F4E79"/>
          <w:sz w:val="26"/>
        </w:rPr>
        <w:t>4. Legislação e Atos Normativos</w:t>
      </w:r>
    </w:p>
    <w:p>
      <w:pPr>
        <w:spacing w:before="140" w:after="80"/>
      </w:pPr>
      <w:r>
        <w:rPr>
          <w:b/>
          <w:color w:val="1F3864"/>
          <w:sz w:val="22"/>
        </w:rPr>
        <w:t>4.1 Legislação Federal e Estadual</w:t>
      </w:r>
      <w:r>
        <w:t xml:space="preserve">  </w:t>
      </w:r>
      <w:r>
        <w:rPr>
          <w:b/>
          <w:color w:val="1F4E79"/>
          <w:sz w:val="14"/>
          <w:shd w:val="clear" w:color="auto" w:fill="D9E2F3"/>
        </w:rPr>
        <w:t xml:space="preserve"> SUS </w:t>
      </w:r>
    </w:p>
    <w:tbl>
      <w:tblPr>
        <w:tblW w:type="auto" w:w="0"/>
        <w:jc w:val="center"/>
        <w:tblLook w:firstColumn="1" w:firstRow="1" w:lastColumn="0" w:lastRow="0" w:noHBand="0" w:noVBand="1" w:val="04A0"/>
        <w:tblBorders>
          <w:top w:val="single" w:sz="4" w:space="0" w:color="D7DDE8"/>
          <w:left w:val="single" w:sz="24" w:space="0" w:color="1F4E79"/>
          <w:bottom w:val="single" w:sz="4" w:space="0" w:color="D7DDE8"/>
          <w:right w:val="single" w:sz="4" w:space="0" w:color="D7DDE8"/>
          <w:insideH w:val="single" w:sz="4" w:space="0" w:color="D7DDE8"/>
          <w:insideV w:val="nil"/>
        </w:tblBorders>
      </w:tblPr>
      <w:tblGrid>
        <w:gridCol w:w="4968"/>
        <w:gridCol w:w="4968"/>
      </w:tblGrid>
      <w:tr>
        <w:tc>
          <w:tcPr>
            <w:tcW w:type="dxa" w:w="9936"/>
            <w:gridSpan w:val="2"/>
            <w:shd w:val="clear" w:color="auto" w:fill="F6F9FD"/>
            <w:tcMar>
              <w:top w:w="70" w:type="dxa"/>
              <w:left w:w="110" w:type="dxa"/>
              <w:bottom w:w="70" w:type="dxa"/>
              <w:right w:w="110" w:type="dxa"/>
            </w:tcMar>
          </w:tcPr>
          <w:p>
            <w:pPr>
              <w:spacing w:before="0" w:after="20"/>
            </w:pPr>
            <w:r>
              <w:rPr>
                <w:b/>
                <w:color w:val="1F4E79"/>
                <w:sz w:val="14"/>
                <w:shd w:val="clear" w:color="auto" w:fill="D9E2F3"/>
              </w:rPr>
              <w:t xml:space="preserve"> SUS </w:t>
            </w:r>
            <w:r>
              <w:rPr>
                <w:b/>
                <w:color w:val="FFFFFF"/>
                <w:sz w:val="14"/>
                <w:shd w:val="clear" w:color="auto" w:fill="1F3864"/>
              </w:rPr>
              <w:t xml:space="preserve"> SAÚDE SUPLEMENTAR </w:t>
            </w:r>
            <w:r>
              <w:rPr>
                <w:b/>
                <w:color w:val="556677"/>
                <w:sz w:val="15"/>
              </w:rPr>
              <w:t xml:space="preserve">  LEGISLAÇÃO FEDERAL · LEI Nº 15.524/2026</w:t>
            </w:r>
          </w:p>
          <w:p>
            <w:pPr>
              <w:spacing w:before="0" w:after="20"/>
            </w:pPr>
            <w:r>
              <w:rPr>
                <w:b/>
                <w:color w:val="1F3864"/>
                <w:sz w:val="21"/>
              </w:rPr>
              <w:t>Lei nº 15.524/2026 — 28/09/2026 (DOU 29/09/2026)</w:t>
            </w:r>
          </w:p>
          <w:p>
            <w:pPr>
              <w:spacing w:before="0" w:after="0"/>
            </w:pPr>
            <w:r>
              <w:rPr>
                <w:i/>
                <w:color w:val="37475A"/>
                <w:sz w:val="18"/>
              </w:rPr>
              <w:t>Estratégia Nacional de Controle e Avaliação da Qualidade da Assistência à Saúde prestada pela Iniciativa Privada.</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Objeto</w:t>
            </w:r>
          </w:p>
        </w:tc>
        <w:tc>
          <w:tcPr>
            <w:tcW w:type="dxa" w:w="4968"/>
            <w:tcW w:w="7632" w:type="dxa"/>
            <w:tcMar>
              <w:top w:w="50" w:type="dxa"/>
              <w:left w:w="110" w:type="dxa"/>
              <w:bottom w:w="50" w:type="dxa"/>
              <w:right w:w="100" w:type="dxa"/>
            </w:tcMar>
            <w:vAlign w:val="top"/>
          </w:tcPr>
          <w:p>
            <w:pPr>
              <w:spacing w:before="0" w:after="0"/>
              <w:jc w:val="both"/>
            </w:pPr>
            <w:r>
              <w:rPr>
                <w:sz w:val="19"/>
              </w:rPr>
              <w:t>A ANVISA fixa padrões de qualidade (segurança do paciente, recursos suficientes, equidade e cumprimento de normas ANVISA/ANS), com a acreditação como elemento de análise; aplica-se também a estabelecimentos públicos (art. 6º).</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Sanção</w:t>
            </w:r>
          </w:p>
        </w:tc>
        <w:tc>
          <w:tcPr>
            <w:tcW w:type="dxa" w:w="4968"/>
            <w:tcW w:w="7632" w:type="dxa"/>
            <w:tcMar>
              <w:top w:w="50" w:type="dxa"/>
              <w:left w:w="110" w:type="dxa"/>
              <w:bottom w:w="50" w:type="dxa"/>
              <w:right w:w="100" w:type="dxa"/>
            </w:tcMar>
            <w:vAlign w:val="top"/>
          </w:tcPr>
          <w:p>
            <w:pPr>
              <w:spacing w:before="0" w:after="0"/>
              <w:jc w:val="both"/>
            </w:pPr>
            <w:r>
              <w:rPr>
                <w:sz w:val="19"/>
              </w:rPr>
              <w:t>Acrescenta o art. 8º-A à Lei nº 9.782/1999: multa diária de R$ 5.000,00, elevável até 100 vezes.</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Vigência</w:t>
            </w:r>
          </w:p>
        </w:tc>
        <w:tc>
          <w:tcPr>
            <w:tcW w:type="dxa" w:w="4968"/>
            <w:tcW w:w="7632" w:type="dxa"/>
            <w:tcMar>
              <w:top w:w="50" w:type="dxa"/>
              <w:left w:w="110" w:type="dxa"/>
              <w:bottom w:w="50" w:type="dxa"/>
              <w:right w:w="100" w:type="dxa"/>
            </w:tcMar>
            <w:vAlign w:val="top"/>
          </w:tcPr>
          <w:p>
            <w:pPr>
              <w:spacing w:before="0" w:after="0"/>
              <w:jc w:val="both"/>
            </w:pPr>
            <w:r>
              <w:rPr>
                <w:sz w:val="19"/>
              </w:rPr>
              <w:t>Imediata.</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Fonte</w:t>
            </w:r>
          </w:p>
        </w:tc>
        <w:tc>
          <w:tcPr>
            <w:tcW w:type="dxa" w:w="4968"/>
            <w:tcW w:w="7632" w:type="dxa"/>
            <w:tcMar>
              <w:top w:w="50" w:type="dxa"/>
              <w:left w:w="110" w:type="dxa"/>
              <w:bottom w:w="50" w:type="dxa"/>
              <w:right w:w="100" w:type="dxa"/>
            </w:tcMar>
            <w:vAlign w:val="top"/>
          </w:tcPr>
          <w:p>
            <w:pPr>
              <w:spacing w:before="0" w:after="0"/>
              <w:jc w:val="both"/>
            </w:pPr>
            <w:hyperlink r:id="rId16">
              <w:r>
                <w:rPr>
                  <w:color w:val="1F4E79"/>
                  <w:u w:val="single"/>
                </w:rPr>
                <w:t xml:space="preserve">Planalto — Lei nº 15.524/2026</w:t>
              </w:r>
            </w:hyperlink>
          </w:p>
        </w:tc>
      </w:tr>
    </w:tbl>
    <w:p>
      <w:pPr>
        <w:spacing w:before="0" w:after="120"/>
      </w:pPr>
    </w:p>
    <w:tbl>
      <w:tblPr>
        <w:tblW w:type="auto" w:w="0"/>
        <w:jc w:val="center"/>
        <w:tblLook w:firstColumn="1" w:firstRow="1" w:lastColumn="0" w:lastRow="0" w:noHBand="0" w:noVBand="1" w:val="04A0"/>
        <w:tblBorders>
          <w:top w:val="single" w:sz="4" w:space="0" w:color="D7DDE8"/>
          <w:left w:val="single" w:sz="24" w:space="0" w:color="1F4E79"/>
          <w:bottom w:val="single" w:sz="4" w:space="0" w:color="D7DDE8"/>
          <w:right w:val="single" w:sz="4" w:space="0" w:color="D7DDE8"/>
          <w:insideH w:val="single" w:sz="4" w:space="0" w:color="D7DDE8"/>
          <w:insideV w:val="nil"/>
        </w:tblBorders>
      </w:tblPr>
      <w:tblGrid>
        <w:gridCol w:w="4968"/>
        <w:gridCol w:w="4968"/>
      </w:tblGrid>
      <w:tr>
        <w:tc>
          <w:tcPr>
            <w:tcW w:type="dxa" w:w="9936"/>
            <w:gridSpan w:val="2"/>
            <w:shd w:val="clear" w:color="auto" w:fill="F6F9FD"/>
            <w:tcMar>
              <w:top w:w="70" w:type="dxa"/>
              <w:left w:w="110" w:type="dxa"/>
              <w:bottom w:w="70" w:type="dxa"/>
              <w:right w:w="110" w:type="dxa"/>
            </w:tcMar>
          </w:tcPr>
          <w:p>
            <w:pPr>
              <w:spacing w:before="0" w:after="20"/>
            </w:pPr>
            <w:r>
              <w:rPr>
                <w:b/>
                <w:color w:val="1F4E79"/>
                <w:sz w:val="14"/>
                <w:shd w:val="clear" w:color="auto" w:fill="D9E2F3"/>
              </w:rPr>
              <w:t xml:space="preserve"> SUS </w:t>
            </w:r>
            <w:r>
              <w:rPr>
                <w:b/>
                <w:color w:val="556677"/>
                <w:sz w:val="15"/>
              </w:rPr>
              <w:t xml:space="preserve">  LEGISLAÇÃO FEDERAL · LEI Nº 15.505/2026</w:t>
            </w:r>
          </w:p>
          <w:p>
            <w:pPr>
              <w:spacing w:before="0" w:after="20"/>
            </w:pPr>
            <w:r>
              <w:rPr>
                <w:b/>
                <w:color w:val="1F3864"/>
                <w:sz w:val="21"/>
              </w:rPr>
              <w:t>Lei nº 15.505/2026 — 15/09/2026 (DOU Extra 15/09/2026)</w:t>
            </w:r>
          </w:p>
          <w:p>
            <w:pPr>
              <w:spacing w:before="0" w:after="0"/>
            </w:pPr>
            <w:r>
              <w:rPr>
                <w:i/>
                <w:color w:val="37475A"/>
                <w:sz w:val="18"/>
              </w:rPr>
              <w:t>Política Nacional de Conscientização e Orientação sobre a Linfangioleiomiomatose (LAM).</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Objeto</w:t>
            </w:r>
          </w:p>
        </w:tc>
        <w:tc>
          <w:tcPr>
            <w:tcW w:type="dxa" w:w="4968"/>
            <w:tcW w:w="7632" w:type="dxa"/>
            <w:tcMar>
              <w:top w:w="50" w:type="dxa"/>
              <w:left w:w="110" w:type="dxa"/>
              <w:bottom w:w="50" w:type="dxa"/>
              <w:right w:w="100" w:type="dxa"/>
            </w:tcMar>
            <w:vAlign w:val="top"/>
          </w:tcPr>
          <w:p>
            <w:pPr>
              <w:spacing w:before="0" w:after="0"/>
              <w:jc w:val="both"/>
            </w:pPr>
            <w:r>
              <w:rPr>
                <w:sz w:val="19"/>
              </w:rPr>
              <w:t>Capacitação, centros de referência, registro nacional de casos e acesso a tratamentos disponíveis no SUS. Origem: PL 5.238/2025.</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Fonte</w:t>
            </w:r>
          </w:p>
        </w:tc>
        <w:tc>
          <w:tcPr>
            <w:tcW w:type="dxa" w:w="4968"/>
            <w:tcW w:w="7632" w:type="dxa"/>
            <w:tcMar>
              <w:top w:w="50" w:type="dxa"/>
              <w:left w:w="110" w:type="dxa"/>
              <w:bottom w:w="50" w:type="dxa"/>
              <w:right w:w="100" w:type="dxa"/>
            </w:tcMar>
            <w:vAlign w:val="top"/>
          </w:tcPr>
          <w:p>
            <w:pPr>
              <w:spacing w:before="0" w:after="0"/>
              <w:jc w:val="both"/>
            </w:pPr>
            <w:hyperlink r:id="rId17">
              <w:r>
                <w:rPr>
                  <w:color w:val="1F4E79"/>
                  <w:u w:val="single"/>
                </w:rPr>
                <w:t xml:space="preserve">Planalto — Lei nº 15.505/2026</w:t>
              </w:r>
            </w:hyperlink>
          </w:p>
        </w:tc>
      </w:tr>
    </w:tbl>
    <w:p>
      <w:pPr>
        <w:spacing w:before="0" w:after="120"/>
      </w:pPr>
    </w:p>
    <w:tbl>
      <w:tblPr>
        <w:tblW w:type="auto" w:w="0"/>
        <w:jc w:val="center"/>
        <w:tblLook w:firstColumn="1" w:firstRow="1" w:lastColumn="0" w:lastRow="0" w:noHBand="0" w:noVBand="1" w:val="04A0"/>
        <w:tblBorders>
          <w:top w:val="single" w:sz="4" w:space="0" w:color="D7DDE8"/>
          <w:left w:val="single" w:sz="24" w:space="0" w:color="1F4E79"/>
          <w:bottom w:val="single" w:sz="4" w:space="0" w:color="D7DDE8"/>
          <w:right w:val="single" w:sz="4" w:space="0" w:color="D7DDE8"/>
          <w:insideH w:val="single" w:sz="4" w:space="0" w:color="D7DDE8"/>
          <w:insideV w:val="nil"/>
        </w:tblBorders>
      </w:tblPr>
      <w:tblGrid>
        <w:gridCol w:w="4968"/>
        <w:gridCol w:w="4968"/>
      </w:tblGrid>
      <w:tr>
        <w:tc>
          <w:tcPr>
            <w:tcW w:type="dxa" w:w="9936"/>
            <w:gridSpan w:val="2"/>
            <w:shd w:val="clear" w:color="auto" w:fill="F6F9FD"/>
            <w:tcMar>
              <w:top w:w="70" w:type="dxa"/>
              <w:left w:w="110" w:type="dxa"/>
              <w:bottom w:w="70" w:type="dxa"/>
              <w:right w:w="110" w:type="dxa"/>
            </w:tcMar>
          </w:tcPr>
          <w:p>
            <w:pPr>
              <w:spacing w:before="0" w:after="20"/>
            </w:pPr>
            <w:r>
              <w:rPr>
                <w:b/>
                <w:color w:val="1F4E79"/>
                <w:sz w:val="14"/>
                <w:shd w:val="clear" w:color="auto" w:fill="D9E2F3"/>
              </w:rPr>
              <w:t xml:space="preserve"> SUS </w:t>
            </w:r>
            <w:r>
              <w:rPr>
                <w:b/>
                <w:color w:val="556677"/>
                <w:sz w:val="15"/>
              </w:rPr>
              <w:t xml:space="preserve">  LEGISLAÇÃO FEDERAL · LEI Nº 15.516/2026</w:t>
            </w:r>
          </w:p>
          <w:p>
            <w:pPr>
              <w:spacing w:before="0" w:after="20"/>
            </w:pPr>
            <w:r>
              <w:rPr>
                <w:b/>
                <w:color w:val="1F3864"/>
                <w:sz w:val="21"/>
              </w:rPr>
              <w:t>Lei nº 15.516/2026 — 22/09/2026 (DOU 23/09/2026)</w:t>
            </w:r>
          </w:p>
          <w:p>
            <w:pPr>
              <w:spacing w:before="0" w:after="0"/>
            </w:pPr>
            <w:r>
              <w:rPr>
                <w:i/>
                <w:color w:val="37475A"/>
                <w:sz w:val="18"/>
              </w:rPr>
              <w:t>Protocolo Intersetorial de Atendimento e Resposta Integrada em Situações de Violência; altera a Lei nº 12.845/2013.</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Objeto</w:t>
            </w:r>
          </w:p>
        </w:tc>
        <w:tc>
          <w:tcPr>
            <w:tcW w:type="dxa" w:w="4968"/>
            <w:tcW w:w="7632" w:type="dxa"/>
            <w:tcMar>
              <w:top w:w="50" w:type="dxa"/>
              <w:left w:w="110" w:type="dxa"/>
              <w:bottom w:w="50" w:type="dxa"/>
              <w:right w:w="100" w:type="dxa"/>
            </w:tcMar>
            <w:vAlign w:val="top"/>
          </w:tcPr>
          <w:p>
            <w:pPr>
              <w:spacing w:before="0" w:after="0"/>
              <w:jc w:val="both"/>
            </w:pPr>
            <w:r>
              <w:rPr>
                <w:sz w:val="19"/>
              </w:rPr>
              <w:t>Atendimento obrigatório a vítimas de violência sexual: coleta de material, preservação de provas, perfil genético e notificação. Veto parcial (Mensagem nº 771).</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Fonte</w:t>
            </w:r>
          </w:p>
        </w:tc>
        <w:tc>
          <w:tcPr>
            <w:tcW w:type="dxa" w:w="4968"/>
            <w:tcW w:w="7632" w:type="dxa"/>
            <w:tcMar>
              <w:top w:w="50" w:type="dxa"/>
              <w:left w:w="110" w:type="dxa"/>
              <w:bottom w:w="50" w:type="dxa"/>
              <w:right w:w="100" w:type="dxa"/>
            </w:tcMar>
            <w:vAlign w:val="top"/>
          </w:tcPr>
          <w:p>
            <w:pPr>
              <w:spacing w:before="0" w:after="0"/>
              <w:jc w:val="both"/>
            </w:pPr>
            <w:hyperlink r:id="rId18">
              <w:r>
                <w:rPr>
                  <w:color w:val="1F4E79"/>
                  <w:u w:val="single"/>
                </w:rPr>
                <w:t xml:space="preserve">Planalto — Lei nº 15.516/2026</w:t>
              </w:r>
            </w:hyperlink>
          </w:p>
        </w:tc>
      </w:tr>
    </w:tbl>
    <w:p>
      <w:pPr>
        <w:spacing w:before="0" w:after="120"/>
      </w:pPr>
    </w:p>
    <w:tbl>
      <w:tblPr>
        <w:tblW w:type="auto" w:w="0"/>
        <w:jc w:val="center"/>
        <w:tblLook w:firstColumn="1" w:firstRow="1" w:lastColumn="0" w:lastRow="0" w:noHBand="0" w:noVBand="1" w:val="04A0"/>
        <w:tblBorders>
          <w:top w:val="single" w:sz="4" w:space="0" w:color="D7DDE8"/>
          <w:left w:val="single" w:sz="24" w:space="0" w:color="1F4E79"/>
          <w:bottom w:val="single" w:sz="4" w:space="0" w:color="D7DDE8"/>
          <w:right w:val="single" w:sz="4" w:space="0" w:color="D7DDE8"/>
          <w:insideH w:val="single" w:sz="4" w:space="0" w:color="D7DDE8"/>
          <w:insideV w:val="nil"/>
        </w:tblBorders>
      </w:tblPr>
      <w:tblGrid>
        <w:gridCol w:w="4968"/>
        <w:gridCol w:w="4968"/>
      </w:tblGrid>
      <w:tr>
        <w:tc>
          <w:tcPr>
            <w:tcW w:type="dxa" w:w="9936"/>
            <w:gridSpan w:val="2"/>
            <w:shd w:val="clear" w:color="auto" w:fill="F6F9FD"/>
            <w:tcMar>
              <w:top w:w="70" w:type="dxa"/>
              <w:left w:w="110" w:type="dxa"/>
              <w:bottom w:w="70" w:type="dxa"/>
              <w:right w:w="110" w:type="dxa"/>
            </w:tcMar>
          </w:tcPr>
          <w:p>
            <w:pPr>
              <w:spacing w:before="0" w:after="20"/>
            </w:pPr>
            <w:r>
              <w:rPr>
                <w:b/>
                <w:color w:val="1F4E79"/>
                <w:sz w:val="14"/>
                <w:shd w:val="clear" w:color="auto" w:fill="D9E2F3"/>
              </w:rPr>
              <w:t xml:space="preserve"> SUS </w:t>
            </w:r>
            <w:r>
              <w:rPr>
                <w:b/>
                <w:color w:val="556677"/>
                <w:sz w:val="15"/>
              </w:rPr>
              <w:t xml:space="preserve">  LEGISLAÇÃO FEDERAL · LEI Nº 15.494/2026 (REMANESCENTE DA ED. 6)</w:t>
            </w:r>
          </w:p>
          <w:p>
            <w:pPr>
              <w:spacing w:before="0" w:after="20"/>
            </w:pPr>
            <w:r>
              <w:rPr>
                <w:b/>
                <w:color w:val="1F3864"/>
                <w:sz w:val="21"/>
              </w:rPr>
              <w:t>Lei nº 15.494/2026 — 02/09/2026 (DOU 03/09/2026)</w:t>
            </w:r>
          </w:p>
          <w:p>
            <w:pPr>
              <w:spacing w:before="0" w:after="0"/>
            </w:pPr>
            <w:r>
              <w:rPr>
                <w:i/>
                <w:color w:val="37475A"/>
                <w:sz w:val="18"/>
              </w:rPr>
              <w:t>Trombolíticos nas urgências cardiovasculares do SUS (altera a Lei nº 14.747/2023).</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Objeto</w:t>
            </w:r>
          </w:p>
        </w:tc>
        <w:tc>
          <w:tcPr>
            <w:tcW w:type="dxa" w:w="4968"/>
            <w:tcW w:w="7632" w:type="dxa"/>
            <w:tcMar>
              <w:top w:w="50" w:type="dxa"/>
              <w:left w:w="110" w:type="dxa"/>
              <w:bottom w:w="50" w:type="dxa"/>
              <w:right w:w="100" w:type="dxa"/>
            </w:tcMar>
            <w:vAlign w:val="top"/>
          </w:tcPr>
          <w:p>
            <w:pPr>
              <w:spacing w:before="0" w:after="0"/>
              <w:jc w:val="both"/>
            </w:pPr>
            <w:r>
              <w:rPr>
                <w:sz w:val="19"/>
              </w:rPr>
              <w:t>Prevê protocolos de atendimento às urgências cardiovasculares no SUS, com trombolíticos nas unidades de urgência, inclusive UPAs; portaria institui comitê de acompanhamento (AVC/IAM).</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Fonte</w:t>
            </w:r>
          </w:p>
        </w:tc>
        <w:tc>
          <w:tcPr>
            <w:tcW w:type="dxa" w:w="4968"/>
            <w:tcW w:w="7632" w:type="dxa"/>
            <w:tcMar>
              <w:top w:w="50" w:type="dxa"/>
              <w:left w:w="110" w:type="dxa"/>
              <w:bottom w:w="50" w:type="dxa"/>
              <w:right w:w="100" w:type="dxa"/>
            </w:tcMar>
            <w:vAlign w:val="top"/>
          </w:tcPr>
          <w:p>
            <w:pPr>
              <w:spacing w:before="0" w:after="0"/>
              <w:jc w:val="both"/>
            </w:pPr>
            <w:hyperlink r:id="rId19">
              <w:r>
                <w:rPr>
                  <w:color w:val="1F4E79"/>
                  <w:u w:val="single"/>
                </w:rPr>
                <w:t xml:space="preserve">Planalto — Lei nº 15.494/2026</w:t>
              </w:r>
            </w:hyperlink>
            <w:r>
              <w:rPr>
                <w:sz w:val="19"/>
              </w:rPr>
              <w:t xml:space="preserve"> · </w:t>
            </w:r>
            <w:hyperlink r:id="rId20">
              <w:r>
                <w:rPr>
                  <w:color w:val="1F4E79"/>
                  <w:u w:val="single"/>
                </w:rPr>
                <w:t xml:space="preserve">MS — notícia</w:t>
              </w:r>
            </w:hyperlink>
          </w:p>
        </w:tc>
      </w:tr>
    </w:tbl>
    <w:p>
      <w:pPr>
        <w:spacing w:before="0" w:after="120"/>
      </w:pPr>
    </w:p>
    <w:tbl>
      <w:tblPr>
        <w:tblW w:type="auto" w:w="0"/>
        <w:jc w:val="center"/>
        <w:tblLook w:firstColumn="1" w:firstRow="1" w:lastColumn="0" w:lastRow="0" w:noHBand="0" w:noVBand="1" w:val="04A0"/>
        <w:tblBorders>
          <w:top w:val="single" w:sz="4" w:space="0" w:color="D7DDE8"/>
          <w:left w:val="single" w:sz="24" w:space="0" w:color="1F4E79"/>
          <w:bottom w:val="single" w:sz="4" w:space="0" w:color="D7DDE8"/>
          <w:right w:val="single" w:sz="4" w:space="0" w:color="D7DDE8"/>
          <w:insideH w:val="single" w:sz="4" w:space="0" w:color="D7DDE8"/>
          <w:insideV w:val="nil"/>
        </w:tblBorders>
      </w:tblPr>
      <w:tblGrid>
        <w:gridCol w:w="4968"/>
        <w:gridCol w:w="4968"/>
      </w:tblGrid>
      <w:tr>
        <w:tc>
          <w:tcPr>
            <w:tcW w:type="dxa" w:w="9936"/>
            <w:gridSpan w:val="2"/>
            <w:shd w:val="clear" w:color="auto" w:fill="F6F9FD"/>
            <w:tcMar>
              <w:top w:w="70" w:type="dxa"/>
              <w:left w:w="110" w:type="dxa"/>
              <w:bottom w:w="70" w:type="dxa"/>
              <w:right w:w="110" w:type="dxa"/>
            </w:tcMar>
          </w:tcPr>
          <w:p>
            <w:pPr>
              <w:spacing w:before="0" w:after="20"/>
            </w:pPr>
            <w:r>
              <w:rPr>
                <w:b/>
                <w:color w:val="1F4E79"/>
                <w:sz w:val="14"/>
                <w:shd w:val="clear" w:color="auto" w:fill="D9E2F3"/>
              </w:rPr>
              <w:t xml:space="preserve"> SUS </w:t>
            </w:r>
            <w:r>
              <w:rPr>
                <w:b/>
                <w:color w:val="556677"/>
                <w:sz w:val="15"/>
              </w:rPr>
              <w:t xml:space="preserve">  LEGISLAÇÃO FEDERAL · LEI Nº 15.484/2026 (ATUALIZAÇÃO)</w:t>
            </w:r>
          </w:p>
          <w:p>
            <w:pPr>
              <w:spacing w:before="0" w:after="20"/>
            </w:pPr>
            <w:r>
              <w:rPr>
                <w:b/>
                <w:color w:val="1F3864"/>
                <w:sz w:val="21"/>
              </w:rPr>
              <w:t>Lei nº 15.484/2026 — DOU 04/08/2026 — vigência confirmada</w:t>
            </w:r>
          </w:p>
          <w:p>
            <w:pPr>
              <w:spacing w:before="0" w:after="0"/>
            </w:pPr>
            <w:r>
              <w:rPr>
                <w:i/>
                <w:color w:val="37475A"/>
                <w:sz w:val="18"/>
              </w:rPr>
              <w:t>Relevância no recurso especial: vigência desde 03/09/2026.</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Atualização</w:t>
            </w:r>
          </w:p>
        </w:tc>
        <w:tc>
          <w:tcPr>
            <w:tcW w:type="dxa" w:w="4968"/>
            <w:tcW w:w="7632" w:type="dxa"/>
            <w:tcMar>
              <w:top w:w="50" w:type="dxa"/>
              <w:left w:w="110" w:type="dxa"/>
              <w:bottom w:w="50" w:type="dxa"/>
              <w:right w:w="100" w:type="dxa"/>
            </w:tcMar>
            <w:vAlign w:val="top"/>
          </w:tcPr>
          <w:p>
            <w:pPr>
              <w:spacing w:before="0" w:after="0"/>
              <w:jc w:val="both"/>
            </w:pPr>
            <w:r>
              <w:rPr>
                <w:sz w:val="19"/>
              </w:rPr>
              <w:t>A Edição 6 registrou "vigência prevista para setembro de 2026". O texto oficial (art. 7º) confirma vigência 30 dias após a publicação — em vigor desde 03/09/2026.</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Fonte</w:t>
            </w:r>
          </w:p>
        </w:tc>
        <w:tc>
          <w:tcPr>
            <w:tcW w:type="dxa" w:w="4968"/>
            <w:tcW w:w="7632" w:type="dxa"/>
            <w:tcMar>
              <w:top w:w="50" w:type="dxa"/>
              <w:left w:w="110" w:type="dxa"/>
              <w:bottom w:w="50" w:type="dxa"/>
              <w:right w:w="100" w:type="dxa"/>
            </w:tcMar>
            <w:vAlign w:val="top"/>
          </w:tcPr>
          <w:p>
            <w:pPr>
              <w:spacing w:before="0" w:after="0"/>
              <w:jc w:val="both"/>
            </w:pPr>
            <w:hyperlink r:id="rId21">
              <w:r>
                <w:rPr>
                  <w:color w:val="1F4E79"/>
                  <w:u w:val="single"/>
                </w:rPr>
                <w:t xml:space="preserve">Planalto — Lei nº 15.484/2026</w:t>
              </w:r>
            </w:hyperlink>
          </w:p>
        </w:tc>
      </w:tr>
    </w:tbl>
    <w:p>
      <w:pPr>
        <w:spacing w:before="0" w:after="120"/>
      </w:pPr>
    </w:p>
    <w:tbl>
      <w:tblPr>
        <w:tblW w:type="auto" w:w="0"/>
        <w:jc w:val="center"/>
        <w:tblLook w:firstColumn="1" w:firstRow="1" w:lastColumn="0" w:lastRow="0" w:noHBand="0" w:noVBand="1" w:val="04A0"/>
        <w:tblBorders>
          <w:top w:val="single" w:sz="4" w:space="0" w:color="D7DDE8"/>
          <w:left w:val="single" w:sz="24" w:space="0" w:color="1F4E79"/>
          <w:bottom w:val="single" w:sz="4" w:space="0" w:color="D7DDE8"/>
          <w:right w:val="single" w:sz="4" w:space="0" w:color="D7DDE8"/>
          <w:insideH w:val="single" w:sz="4" w:space="0" w:color="D7DDE8"/>
          <w:insideV w:val="nil"/>
        </w:tblBorders>
      </w:tblPr>
      <w:tblGrid>
        <w:gridCol w:w="4968"/>
        <w:gridCol w:w="4968"/>
      </w:tblGrid>
      <w:tr>
        <w:tc>
          <w:tcPr>
            <w:tcW w:type="dxa" w:w="9936"/>
            <w:gridSpan w:val="2"/>
            <w:shd w:val="clear" w:color="auto" w:fill="F6F9FD"/>
            <w:tcMar>
              <w:top w:w="70" w:type="dxa"/>
              <w:left w:w="110" w:type="dxa"/>
              <w:bottom w:w="70" w:type="dxa"/>
              <w:right w:w="110" w:type="dxa"/>
            </w:tcMar>
          </w:tcPr>
          <w:p>
            <w:pPr>
              <w:spacing w:before="0" w:after="20"/>
            </w:pPr>
            <w:r>
              <w:rPr>
                <w:b/>
                <w:color w:val="1F4E79"/>
                <w:sz w:val="14"/>
                <w:shd w:val="clear" w:color="auto" w:fill="D9E2F3"/>
              </w:rPr>
              <w:t xml:space="preserve"> SUS </w:t>
            </w:r>
            <w:r>
              <w:rPr>
                <w:b/>
                <w:color w:val="556677"/>
                <w:sz w:val="15"/>
              </w:rPr>
              <w:t xml:space="preserve">  LEGISLAÇÃO FEDERAL · LEI Nº 15.513/2026</w:t>
            </w:r>
          </w:p>
          <w:p>
            <w:pPr>
              <w:spacing w:before="0" w:after="20"/>
            </w:pPr>
            <w:r>
              <w:rPr>
                <w:b/>
                <w:color w:val="1F3864"/>
                <w:sz w:val="21"/>
              </w:rPr>
              <w:t>Lei nº 15.513/2026 — 22/09/2026 (DOU 23/09/2026)</w:t>
            </w:r>
          </w:p>
          <w:p>
            <w:pPr>
              <w:spacing w:before="0" w:after="0"/>
            </w:pPr>
            <w:r>
              <w:rPr>
                <w:i/>
                <w:color w:val="37475A"/>
                <w:sz w:val="18"/>
              </w:rPr>
              <w:t>Prorroga a dedução do IR para doações ao PRONON e ao PRONAS/PCD.</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Objeto</w:t>
            </w:r>
          </w:p>
        </w:tc>
        <w:tc>
          <w:tcPr>
            <w:tcW w:type="dxa" w:w="4968"/>
            <w:tcW w:w="7632" w:type="dxa"/>
            <w:tcMar>
              <w:top w:w="50" w:type="dxa"/>
              <w:left w:w="110" w:type="dxa"/>
              <w:bottom w:w="50" w:type="dxa"/>
              <w:right w:w="100" w:type="dxa"/>
            </w:tcMar>
            <w:vAlign w:val="top"/>
          </w:tcPr>
          <w:p>
            <w:pPr>
              <w:spacing w:before="0" w:after="0"/>
              <w:jc w:val="both"/>
            </w:pPr>
            <w:r>
              <w:rPr>
                <w:sz w:val="19"/>
              </w:rPr>
              <w:t>Altera os arts. 2º a 4º da Lei nº 12.715/2012.</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Fonte</w:t>
            </w:r>
          </w:p>
        </w:tc>
        <w:tc>
          <w:tcPr>
            <w:tcW w:type="dxa" w:w="4968"/>
            <w:tcW w:w="7632" w:type="dxa"/>
            <w:tcMar>
              <w:top w:w="50" w:type="dxa"/>
              <w:left w:w="110" w:type="dxa"/>
              <w:bottom w:w="50" w:type="dxa"/>
              <w:right w:w="100" w:type="dxa"/>
            </w:tcMar>
            <w:vAlign w:val="top"/>
          </w:tcPr>
          <w:p>
            <w:pPr>
              <w:spacing w:before="0" w:after="0"/>
              <w:jc w:val="both"/>
            </w:pPr>
            <w:hyperlink r:id="rId22">
              <w:r>
                <w:rPr>
                  <w:color w:val="1F4E79"/>
                  <w:u w:val="single"/>
                </w:rPr>
                <w:t xml:space="preserve">Planalto — Lei nº 15.513/2026</w:t>
              </w:r>
            </w:hyperlink>
          </w:p>
        </w:tc>
      </w:tr>
    </w:tbl>
    <w:p>
      <w:pPr>
        <w:spacing w:before="0" w:after="120"/>
      </w:pPr>
    </w:p>
    <w:tbl>
      <w:tblPr>
        <w:tblW w:type="auto" w:w="0"/>
        <w:jc w:val="center"/>
        <w:tblLook w:firstColumn="1" w:firstRow="1" w:lastColumn="0" w:lastRow="0" w:noHBand="0" w:noVBand="1" w:val="04A0"/>
        <w:tblBorders>
          <w:top w:val="single" w:sz="4" w:space="0" w:color="D7DDE8"/>
          <w:left w:val="single" w:sz="24" w:space="0" w:color="1F4E79"/>
          <w:bottom w:val="single" w:sz="4" w:space="0" w:color="D7DDE8"/>
          <w:right w:val="single" w:sz="4" w:space="0" w:color="D7DDE8"/>
          <w:insideH w:val="single" w:sz="4" w:space="0" w:color="D7DDE8"/>
          <w:insideV w:val="nil"/>
        </w:tblBorders>
      </w:tblPr>
      <w:tblGrid>
        <w:gridCol w:w="4968"/>
        <w:gridCol w:w="4968"/>
      </w:tblGrid>
      <w:tr>
        <w:tc>
          <w:tcPr>
            <w:tcW w:type="dxa" w:w="9936"/>
            <w:gridSpan w:val="2"/>
            <w:shd w:val="clear" w:color="auto" w:fill="F6F9FD"/>
            <w:tcMar>
              <w:top w:w="70" w:type="dxa"/>
              <w:left w:w="110" w:type="dxa"/>
              <w:bottom w:w="70" w:type="dxa"/>
              <w:right w:w="110" w:type="dxa"/>
            </w:tcMar>
          </w:tcPr>
          <w:p>
            <w:pPr>
              <w:spacing w:before="0" w:after="20"/>
            </w:pPr>
            <w:r>
              <w:rPr>
                <w:b/>
                <w:color w:val="1F4E79"/>
                <w:sz w:val="14"/>
                <w:shd w:val="clear" w:color="auto" w:fill="D9E2F3"/>
              </w:rPr>
              <w:t xml:space="preserve"> SUS </w:t>
            </w:r>
            <w:r>
              <w:rPr>
                <w:b/>
                <w:color w:val="556677"/>
                <w:sz w:val="15"/>
              </w:rPr>
              <w:t xml:space="preserve">  LEGISLAÇÃO FEDERAL · LEI Nº 15.519/2026</w:t>
            </w:r>
          </w:p>
          <w:p>
            <w:pPr>
              <w:spacing w:before="0" w:after="20"/>
            </w:pPr>
            <w:r>
              <w:rPr>
                <w:b/>
                <w:color w:val="1F3864"/>
                <w:sz w:val="21"/>
              </w:rPr>
              <w:t>Lei nº 15.519/2026 — 22/09/2026</w:t>
            </w:r>
          </w:p>
          <w:p>
            <w:pPr>
              <w:spacing w:before="0" w:after="0"/>
            </w:pPr>
            <w:r>
              <w:rPr>
                <w:i/>
                <w:color w:val="37475A"/>
                <w:sz w:val="18"/>
              </w:rPr>
              <w:t>Exercício da atividade de psicopedagogia (VET 54/2026).</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Objeto</w:t>
            </w:r>
          </w:p>
        </w:tc>
        <w:tc>
          <w:tcPr>
            <w:tcW w:type="dxa" w:w="4968"/>
            <w:tcW w:w="7632" w:type="dxa"/>
            <w:tcMar>
              <w:top w:w="50" w:type="dxa"/>
              <w:left w:w="110" w:type="dxa"/>
              <w:bottom w:w="50" w:type="dxa"/>
              <w:right w:w="100" w:type="dxa"/>
            </w:tcMar>
            <w:vAlign w:val="top"/>
          </w:tcPr>
          <w:p>
            <w:pPr>
              <w:spacing w:before="0" w:after="0"/>
              <w:jc w:val="both"/>
            </w:pPr>
            <w:r>
              <w:rPr>
                <w:sz w:val="19"/>
              </w:rPr>
              <w:t>Regulamenta o exercício da psicopedagogia.</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Fonte</w:t>
            </w:r>
          </w:p>
        </w:tc>
        <w:tc>
          <w:tcPr>
            <w:tcW w:type="dxa" w:w="4968"/>
            <w:tcW w:w="7632" w:type="dxa"/>
            <w:tcMar>
              <w:top w:w="50" w:type="dxa"/>
              <w:left w:w="110" w:type="dxa"/>
              <w:bottom w:w="50" w:type="dxa"/>
              <w:right w:w="100" w:type="dxa"/>
            </w:tcMar>
            <w:vAlign w:val="top"/>
          </w:tcPr>
          <w:p>
            <w:pPr>
              <w:spacing w:before="0" w:after="0"/>
              <w:jc w:val="both"/>
            </w:pPr>
            <w:hyperlink r:id="rId23">
              <w:r>
                <w:rPr>
                  <w:color w:val="1F4E79"/>
                  <w:u w:val="single"/>
                </w:rPr>
                <w:t xml:space="preserve">Planalto — Lei nº 15.519/2026</w:t>
              </w:r>
            </w:hyperlink>
          </w:p>
        </w:tc>
      </w:tr>
    </w:tbl>
    <w:p>
      <w:pPr>
        <w:spacing w:before="0" w:after="120"/>
      </w:pPr>
    </w:p>
    <w:p>
      <w:pPr>
        <w:spacing w:before="140" w:after="80"/>
      </w:pPr>
      <w:r>
        <w:rPr>
          <w:b/>
          <w:color w:val="1F3864"/>
          <w:sz w:val="22"/>
        </w:rPr>
        <w:t>4.2 Ministério da Saúde</w:t>
      </w:r>
      <w:r>
        <w:t xml:space="preserve">  </w:t>
      </w:r>
      <w:r>
        <w:rPr>
          <w:b/>
          <w:color w:val="1F4E79"/>
          <w:sz w:val="14"/>
          <w:shd w:val="clear" w:color="auto" w:fill="D9E2F3"/>
        </w:rPr>
        <w:t xml:space="preserve"> SUS </w:t>
      </w:r>
    </w:p>
    <w:tbl>
      <w:tblPr>
        <w:tblW w:type="auto" w:w="0"/>
        <w:jc w:val="center"/>
        <w:tblLook w:firstColumn="1" w:firstRow="1" w:lastColumn="0" w:lastRow="0" w:noHBand="0" w:noVBand="1" w:val="04A0"/>
        <w:tblBorders>
          <w:top w:val="single" w:sz="4" w:space="0" w:color="D7DDE8"/>
          <w:left w:val="single" w:sz="24" w:space="0" w:color="1F4E79"/>
          <w:bottom w:val="single" w:sz="4" w:space="0" w:color="D7DDE8"/>
          <w:right w:val="single" w:sz="4" w:space="0" w:color="D7DDE8"/>
          <w:insideH w:val="single" w:sz="4" w:space="0" w:color="D7DDE8"/>
          <w:insideV w:val="nil"/>
        </w:tblBorders>
      </w:tblPr>
      <w:tblGrid>
        <w:gridCol w:w="4968"/>
        <w:gridCol w:w="4968"/>
      </w:tblGrid>
      <w:tr>
        <w:tc>
          <w:tcPr>
            <w:tcW w:type="dxa" w:w="9936"/>
            <w:gridSpan w:val="2"/>
            <w:shd w:val="clear" w:color="auto" w:fill="F6F9FD"/>
            <w:tcMar>
              <w:top w:w="70" w:type="dxa"/>
              <w:left w:w="110" w:type="dxa"/>
              <w:bottom w:w="70" w:type="dxa"/>
              <w:right w:w="110" w:type="dxa"/>
            </w:tcMar>
          </w:tcPr>
          <w:p>
            <w:pPr>
              <w:spacing w:before="0" w:after="20"/>
            </w:pPr>
            <w:r>
              <w:rPr>
                <w:b/>
                <w:color w:val="1F4E79"/>
                <w:sz w:val="14"/>
                <w:shd w:val="clear" w:color="auto" w:fill="D9E2F3"/>
              </w:rPr>
              <w:t xml:space="preserve"> SUS </w:t>
            </w:r>
            <w:r>
              <w:rPr>
                <w:b/>
                <w:color w:val="556677"/>
                <w:sz w:val="15"/>
              </w:rPr>
              <w:t xml:space="preserve">  MINISTÉRIO DA SAÚDE · PORTARIA GM/MS Nº 12.252/2026</w:t>
            </w:r>
          </w:p>
          <w:p>
            <w:pPr>
              <w:spacing w:before="0" w:after="20"/>
            </w:pPr>
            <w:r>
              <w:rPr>
                <w:b/>
                <w:color w:val="1F3864"/>
                <w:sz w:val="21"/>
              </w:rPr>
              <w:t>Portaria GM/MS nº 12.252/2026 — 29/09/2026 (DOU 30/09/2026)</w:t>
            </w:r>
          </w:p>
          <w:p>
            <w:pPr>
              <w:spacing w:before="0" w:after="0"/>
            </w:pPr>
            <w:r>
              <w:rPr>
                <w:i/>
                <w:color w:val="37475A"/>
                <w:sz w:val="18"/>
              </w:rPr>
              <w:t>Regras de execução, em 2027, das emendas parlamentares que destinam recursos ao SUS.</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Objeto</w:t>
            </w:r>
          </w:p>
        </w:tc>
        <w:tc>
          <w:tcPr>
            <w:tcW w:type="dxa" w:w="4968"/>
            <w:tcW w:w="7632" w:type="dxa"/>
            <w:tcMar>
              <w:top w:w="50" w:type="dxa"/>
              <w:left w:w="110" w:type="dxa"/>
              <w:bottom w:w="50" w:type="dxa"/>
              <w:right w:w="100" w:type="dxa"/>
            </w:tcMar>
            <w:vAlign w:val="top"/>
          </w:tcPr>
          <w:p>
            <w:pPr>
              <w:spacing w:before="0" w:after="0"/>
              <w:jc w:val="both"/>
            </w:pPr>
            <w:r>
              <w:rPr>
                <w:sz w:val="19"/>
              </w:rPr>
              <w:t>Emendas individuais (RP6), de bancada (RP7) e de comissão (RP8); incorpora a Portaria Conjunta MPO/MGI/SRI-PR nº 3/2026 e as exigências de transparência e rastreabilidade da ADPF 854 (compatibilidade com o Plano de Saúde/PAS).</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Repercussão</w:t>
            </w:r>
          </w:p>
        </w:tc>
        <w:tc>
          <w:tcPr>
            <w:tcW w:type="dxa" w:w="4968"/>
            <w:tcW w:w="7632" w:type="dxa"/>
            <w:tcMar>
              <w:top w:w="50" w:type="dxa"/>
              <w:left w:w="110" w:type="dxa"/>
              <w:bottom w:w="50" w:type="dxa"/>
              <w:right w:w="100" w:type="dxa"/>
            </w:tcMar>
            <w:vAlign w:val="top"/>
          </w:tcPr>
          <w:p>
            <w:pPr>
              <w:spacing w:before="0" w:after="0"/>
              <w:jc w:val="both"/>
            </w:pPr>
            <w:r>
              <w:rPr>
                <w:sz w:val="19"/>
              </w:rPr>
              <w:t>Financiamento do SUS; dialoga com a ADI 6.081/SC (repasses).</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Fonte</w:t>
            </w:r>
          </w:p>
        </w:tc>
        <w:tc>
          <w:tcPr>
            <w:tcW w:type="dxa" w:w="4968"/>
            <w:tcW w:w="7632" w:type="dxa"/>
            <w:tcMar>
              <w:top w:w="50" w:type="dxa"/>
              <w:left w:w="110" w:type="dxa"/>
              <w:bottom w:w="50" w:type="dxa"/>
              <w:right w:w="100" w:type="dxa"/>
            </w:tcMar>
            <w:vAlign w:val="top"/>
          </w:tcPr>
          <w:p>
            <w:pPr>
              <w:spacing w:before="0" w:after="0"/>
              <w:jc w:val="both"/>
            </w:pPr>
            <w:hyperlink r:id="rId24">
              <w:r>
                <w:rPr>
                  <w:color w:val="1F4E79"/>
                  <w:u w:val="single"/>
                </w:rPr>
                <w:t xml:space="preserve">DOU — Portaria GM/MS nº 12.252/2026</w:t>
              </w:r>
            </w:hyperlink>
          </w:p>
        </w:tc>
      </w:tr>
    </w:tbl>
    <w:p>
      <w:pPr>
        <w:spacing w:before="0" w:after="120"/>
      </w:pPr>
    </w:p>
    <w:tbl>
      <w:tblPr>
        <w:tblW w:type="auto" w:w="0"/>
        <w:jc w:val="center"/>
        <w:tblLook w:firstColumn="1" w:firstRow="1" w:lastColumn="0" w:lastRow="0" w:noHBand="0" w:noVBand="1" w:val="04A0"/>
        <w:tblBorders>
          <w:top w:val="single" w:sz="4" w:space="0" w:color="D7DDE8"/>
          <w:left w:val="single" w:sz="24" w:space="0" w:color="1F4E79"/>
          <w:bottom w:val="single" w:sz="4" w:space="0" w:color="D7DDE8"/>
          <w:right w:val="single" w:sz="4" w:space="0" w:color="D7DDE8"/>
          <w:insideH w:val="single" w:sz="4" w:space="0" w:color="D7DDE8"/>
          <w:insideV w:val="nil"/>
        </w:tblBorders>
      </w:tblPr>
      <w:tblGrid>
        <w:gridCol w:w="4968"/>
        <w:gridCol w:w="4968"/>
      </w:tblGrid>
      <w:tr>
        <w:tc>
          <w:tcPr>
            <w:tcW w:type="dxa" w:w="9936"/>
            <w:gridSpan w:val="2"/>
            <w:shd w:val="clear" w:color="auto" w:fill="F6F9FD"/>
            <w:tcMar>
              <w:top w:w="70" w:type="dxa"/>
              <w:left w:w="110" w:type="dxa"/>
              <w:bottom w:w="70" w:type="dxa"/>
              <w:right w:w="110" w:type="dxa"/>
            </w:tcMar>
          </w:tcPr>
          <w:p>
            <w:pPr>
              <w:spacing w:before="0" w:after="20"/>
            </w:pPr>
            <w:r>
              <w:rPr>
                <w:b/>
                <w:color w:val="1F4E79"/>
                <w:sz w:val="14"/>
                <w:shd w:val="clear" w:color="auto" w:fill="D9E2F3"/>
              </w:rPr>
              <w:t xml:space="preserve"> SUS </w:t>
            </w:r>
            <w:r>
              <w:rPr>
                <w:b/>
                <w:color w:val="556677"/>
                <w:sz w:val="15"/>
              </w:rPr>
              <w:t xml:space="preserve">  MINISTÉRIO DA SAÚDE · PORTARIA GM/MS Nº 12.167/2026</w:t>
            </w:r>
          </w:p>
          <w:p>
            <w:pPr>
              <w:spacing w:before="0" w:after="20"/>
            </w:pPr>
            <w:r>
              <w:rPr>
                <w:b/>
                <w:color w:val="1F3864"/>
                <w:sz w:val="21"/>
              </w:rPr>
              <w:t>Portaria GM/MS nº 12.167/2026 — 15/09/2026 (DOU Edição Extra 17/09/2026)</w:t>
            </w:r>
          </w:p>
          <w:p>
            <w:pPr>
              <w:spacing w:before="0" w:after="0"/>
            </w:pPr>
            <w:r>
              <w:rPr>
                <w:i/>
                <w:color w:val="37475A"/>
                <w:sz w:val="18"/>
              </w:rPr>
              <w:t>Política Nacional de Saúde Integral da População Quilombola (PNASQ).</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Objeto</w:t>
            </w:r>
          </w:p>
        </w:tc>
        <w:tc>
          <w:tcPr>
            <w:tcW w:type="dxa" w:w="4968"/>
            <w:tcW w:w="7632" w:type="dxa"/>
            <w:tcMar>
              <w:top w:w="50" w:type="dxa"/>
              <w:left w:w="110" w:type="dxa"/>
              <w:bottom w:w="50" w:type="dxa"/>
              <w:right w:w="100" w:type="dxa"/>
            </w:tcMar>
            <w:vAlign w:val="top"/>
          </w:tcPr>
          <w:p>
            <w:pPr>
              <w:spacing w:before="0" w:after="0"/>
              <w:jc w:val="both"/>
            </w:pPr>
            <w:r>
              <w:rPr>
                <w:sz w:val="19"/>
              </w:rPr>
              <w:t>Institui a PNASQ (Anexo XLIII da PRC nº 2/2017); Plano Operativo Nacional em até 180 dias; sem transferência automática de recursos.</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Fonte</w:t>
            </w:r>
          </w:p>
        </w:tc>
        <w:tc>
          <w:tcPr>
            <w:tcW w:type="dxa" w:w="4968"/>
            <w:tcW w:w="7632" w:type="dxa"/>
            <w:tcMar>
              <w:top w:w="50" w:type="dxa"/>
              <w:left w:w="110" w:type="dxa"/>
              <w:bottom w:w="50" w:type="dxa"/>
              <w:right w:w="100" w:type="dxa"/>
            </w:tcMar>
            <w:vAlign w:val="top"/>
          </w:tcPr>
          <w:p>
            <w:pPr>
              <w:spacing w:before="0" w:after="0"/>
              <w:jc w:val="both"/>
            </w:pPr>
            <w:hyperlink r:id="rId25">
              <w:r>
                <w:rPr>
                  <w:color w:val="1F4E79"/>
                  <w:u w:val="single"/>
                </w:rPr>
                <w:t xml:space="preserve">DOU — Portaria GM/MS nº 12.167/2026</w:t>
              </w:r>
            </w:hyperlink>
          </w:p>
        </w:tc>
      </w:tr>
    </w:tbl>
    <w:p>
      <w:pPr>
        <w:spacing w:before="0" w:after="120"/>
      </w:pPr>
    </w:p>
    <w:tbl>
      <w:tblPr>
        <w:tblW w:type="auto" w:w="0"/>
        <w:jc w:val="center"/>
        <w:tblLook w:firstColumn="1" w:firstRow="1" w:lastColumn="0" w:lastRow="0" w:noHBand="0" w:noVBand="1" w:val="04A0"/>
        <w:tblBorders>
          <w:top w:val="single" w:sz="4" w:space="0" w:color="D7DDE8"/>
          <w:left w:val="single" w:sz="24" w:space="0" w:color="1F4E79"/>
          <w:bottom w:val="single" w:sz="4" w:space="0" w:color="D7DDE8"/>
          <w:right w:val="single" w:sz="4" w:space="0" w:color="D7DDE8"/>
          <w:insideH w:val="single" w:sz="4" w:space="0" w:color="D7DDE8"/>
          <w:insideV w:val="nil"/>
        </w:tblBorders>
      </w:tblPr>
      <w:tblGrid>
        <w:gridCol w:w="4968"/>
        <w:gridCol w:w="4968"/>
      </w:tblGrid>
      <w:tr>
        <w:tc>
          <w:tcPr>
            <w:tcW w:type="dxa" w:w="9936"/>
            <w:gridSpan w:val="2"/>
            <w:shd w:val="clear" w:color="auto" w:fill="F6F9FD"/>
            <w:tcMar>
              <w:top w:w="70" w:type="dxa"/>
              <w:left w:w="110" w:type="dxa"/>
              <w:bottom w:w="70" w:type="dxa"/>
              <w:right w:w="110" w:type="dxa"/>
            </w:tcMar>
          </w:tcPr>
          <w:p>
            <w:pPr>
              <w:spacing w:before="0" w:after="20"/>
            </w:pPr>
            <w:r>
              <w:rPr>
                <w:b/>
                <w:color w:val="1F4E79"/>
                <w:sz w:val="14"/>
                <w:shd w:val="clear" w:color="auto" w:fill="D9E2F3"/>
              </w:rPr>
              <w:t xml:space="preserve"> SUS </w:t>
            </w:r>
            <w:r>
              <w:rPr>
                <w:b/>
                <w:color w:val="556677"/>
                <w:sz w:val="15"/>
              </w:rPr>
              <w:t xml:space="preserve">  MINISTÉRIO DA SAÚDE · PORTARIA GM/MS Nº 12.244/2026</w:t>
            </w:r>
          </w:p>
          <w:p>
            <w:pPr>
              <w:spacing w:before="0" w:after="20"/>
            </w:pPr>
            <w:r>
              <w:rPr>
                <w:b/>
                <w:color w:val="1F3864"/>
                <w:sz w:val="21"/>
              </w:rPr>
              <w:t>Portaria GM/MS nº 12.244/2026 — 25/09/2026</w:t>
            </w:r>
          </w:p>
          <w:p>
            <w:pPr>
              <w:spacing w:before="0" w:after="0"/>
            </w:pPr>
            <w:r>
              <w:rPr>
                <w:i/>
                <w:color w:val="37475A"/>
                <w:sz w:val="18"/>
              </w:rPr>
              <w:t>Prorroga a entrada em vigor da Política Nacional de Doação e Transplantes.</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Objeto</w:t>
            </w:r>
          </w:p>
        </w:tc>
        <w:tc>
          <w:tcPr>
            <w:tcW w:type="dxa" w:w="4968"/>
            <w:tcW w:w="7632" w:type="dxa"/>
            <w:tcMar>
              <w:top w:w="50" w:type="dxa"/>
              <w:left w:w="110" w:type="dxa"/>
              <w:bottom w:w="50" w:type="dxa"/>
              <w:right w:w="100" w:type="dxa"/>
            </w:tcMar>
            <w:vAlign w:val="top"/>
          </w:tcPr>
          <w:p>
            <w:pPr>
              <w:spacing w:before="0" w:after="0"/>
              <w:jc w:val="both"/>
            </w:pPr>
            <w:r>
              <w:rPr>
                <w:sz w:val="19"/>
              </w:rPr>
              <w:t>Prorroga por 100 dias, a contar de 22/09/2026, a entrada em vigor da Portaria GM/MS nº 8.041/2025 (Regulamento Técnico do Sistema Nacional de Transplantes).</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Fonte</w:t>
            </w:r>
          </w:p>
        </w:tc>
        <w:tc>
          <w:tcPr>
            <w:tcW w:type="dxa" w:w="4968"/>
            <w:tcW w:w="7632" w:type="dxa"/>
            <w:tcMar>
              <w:top w:w="50" w:type="dxa"/>
              <w:left w:w="110" w:type="dxa"/>
              <w:bottom w:w="50" w:type="dxa"/>
              <w:right w:w="100" w:type="dxa"/>
            </w:tcMar>
            <w:vAlign w:val="top"/>
          </w:tcPr>
          <w:p>
            <w:pPr>
              <w:spacing w:before="0" w:after="0"/>
              <w:jc w:val="both"/>
            </w:pPr>
            <w:hyperlink r:id="rId26">
              <w:r>
                <w:rPr>
                  <w:color w:val="1F4E79"/>
                  <w:u w:val="single"/>
                </w:rPr>
                <w:t xml:space="preserve">DOU — Portaria GM/MS nº 12.244/2026</w:t>
              </w:r>
            </w:hyperlink>
          </w:p>
        </w:tc>
      </w:tr>
    </w:tbl>
    <w:p>
      <w:pPr>
        <w:spacing w:before="0" w:after="120"/>
      </w:pPr>
    </w:p>
    <w:tbl>
      <w:tblPr>
        <w:tblW w:type="auto" w:w="0"/>
        <w:jc w:val="center"/>
        <w:tblLook w:firstColumn="1" w:firstRow="1" w:lastColumn="0" w:lastRow="0" w:noHBand="0" w:noVBand="1" w:val="04A0"/>
        <w:tblBorders>
          <w:top w:val="single" w:sz="4" w:space="0" w:color="D7DDE8"/>
          <w:left w:val="single" w:sz="24" w:space="0" w:color="1F4E79"/>
          <w:bottom w:val="single" w:sz="4" w:space="0" w:color="D7DDE8"/>
          <w:right w:val="single" w:sz="4" w:space="0" w:color="D7DDE8"/>
          <w:insideH w:val="single" w:sz="4" w:space="0" w:color="D7DDE8"/>
          <w:insideV w:val="nil"/>
        </w:tblBorders>
      </w:tblPr>
      <w:tblGrid>
        <w:gridCol w:w="4968"/>
        <w:gridCol w:w="4968"/>
      </w:tblGrid>
      <w:tr>
        <w:tc>
          <w:tcPr>
            <w:tcW w:type="dxa" w:w="9936"/>
            <w:gridSpan w:val="2"/>
            <w:shd w:val="clear" w:color="auto" w:fill="F6F9FD"/>
            <w:tcMar>
              <w:top w:w="70" w:type="dxa"/>
              <w:left w:w="110" w:type="dxa"/>
              <w:bottom w:w="70" w:type="dxa"/>
              <w:right w:w="110" w:type="dxa"/>
            </w:tcMar>
          </w:tcPr>
          <w:p>
            <w:pPr>
              <w:spacing w:before="0" w:after="20"/>
            </w:pPr>
            <w:r>
              <w:rPr>
                <w:b/>
                <w:color w:val="1F4E79"/>
                <w:sz w:val="14"/>
                <w:shd w:val="clear" w:color="auto" w:fill="D9E2F3"/>
              </w:rPr>
              <w:t xml:space="preserve"> SUS </w:t>
            </w:r>
            <w:r>
              <w:rPr>
                <w:b/>
                <w:color w:val="556677"/>
                <w:sz w:val="15"/>
              </w:rPr>
              <w:t xml:space="preserve">  MINISTÉRIO DA SAÚDE · PORTARIA GM/MS Nº 12.254/2026</w:t>
            </w:r>
          </w:p>
          <w:p>
            <w:pPr>
              <w:spacing w:before="0" w:after="20"/>
            </w:pPr>
            <w:r>
              <w:rPr>
                <w:b/>
                <w:color w:val="1F3864"/>
                <w:sz w:val="21"/>
              </w:rPr>
              <w:t>Portaria GM/MS nº 12.254/2026 — 30/09/2026</w:t>
            </w:r>
          </w:p>
          <w:p>
            <w:pPr>
              <w:spacing w:before="0" w:after="0"/>
            </w:pPr>
            <w:r>
              <w:rPr>
                <w:i/>
                <w:color w:val="37475A"/>
                <w:sz w:val="18"/>
              </w:rPr>
              <w:t>Reconstrução mamária na Tabela SUS (altera a Portaria GM/MS nº 11.387/2026).</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Objeto</w:t>
            </w:r>
          </w:p>
        </w:tc>
        <w:tc>
          <w:tcPr>
            <w:tcW w:type="dxa" w:w="4968"/>
            <w:tcW w:w="7632" w:type="dxa"/>
            <w:tcMar>
              <w:top w:w="50" w:type="dxa"/>
              <w:left w:w="110" w:type="dxa"/>
              <w:bottom w:w="50" w:type="dxa"/>
              <w:right w:w="100" w:type="dxa"/>
            </w:tcMar>
            <w:vAlign w:val="top"/>
          </w:tcPr>
          <w:p>
            <w:pPr>
              <w:spacing w:before="0" w:after="0"/>
              <w:jc w:val="both"/>
            </w:pPr>
            <w:r>
              <w:rPr>
                <w:sz w:val="19"/>
              </w:rPr>
              <w:t>Exclui, inclui e altera procedimentos de cirurgia plástica reconstrutiva de mama. Relevante para cobertura de reconstrução mamária pós-oncológica.</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Fonte</w:t>
            </w:r>
          </w:p>
        </w:tc>
        <w:tc>
          <w:tcPr>
            <w:tcW w:type="dxa" w:w="4968"/>
            <w:tcW w:w="7632" w:type="dxa"/>
            <w:tcMar>
              <w:top w:w="50" w:type="dxa"/>
              <w:left w:w="110" w:type="dxa"/>
              <w:bottom w:w="50" w:type="dxa"/>
              <w:right w:w="100" w:type="dxa"/>
            </w:tcMar>
            <w:vAlign w:val="top"/>
          </w:tcPr>
          <w:p>
            <w:pPr>
              <w:spacing w:before="0" w:after="0"/>
              <w:jc w:val="both"/>
            </w:pPr>
            <w:hyperlink r:id="rId27">
              <w:r>
                <w:rPr>
                  <w:color w:val="1F4E79"/>
                  <w:u w:val="single"/>
                </w:rPr>
                <w:t xml:space="preserve">DOU — Portaria GM/MS nº 12.254/2026</w:t>
              </w:r>
            </w:hyperlink>
          </w:p>
        </w:tc>
      </w:tr>
    </w:tbl>
    <w:p>
      <w:pPr>
        <w:spacing w:before="0" w:after="120"/>
      </w:pPr>
    </w:p>
    <w:tbl>
      <w:tblPr>
        <w:tblW w:type="auto" w:w="0"/>
        <w:jc w:val="center"/>
        <w:tblLook w:firstColumn="1" w:firstRow="1" w:lastColumn="0" w:lastRow="0" w:noHBand="0" w:noVBand="1" w:val="04A0"/>
        <w:tblBorders>
          <w:top w:val="single" w:sz="4" w:space="0" w:color="D7DDE8"/>
          <w:left w:val="single" w:sz="24" w:space="0" w:color="1F4E79"/>
          <w:bottom w:val="single" w:sz="4" w:space="0" w:color="D7DDE8"/>
          <w:right w:val="single" w:sz="4" w:space="0" w:color="D7DDE8"/>
          <w:insideH w:val="single" w:sz="4" w:space="0" w:color="D7DDE8"/>
          <w:insideV w:val="nil"/>
        </w:tblBorders>
      </w:tblPr>
      <w:tblGrid>
        <w:gridCol w:w="4968"/>
        <w:gridCol w:w="4968"/>
      </w:tblGrid>
      <w:tr>
        <w:tc>
          <w:tcPr>
            <w:tcW w:type="dxa" w:w="9936"/>
            <w:gridSpan w:val="2"/>
            <w:shd w:val="clear" w:color="auto" w:fill="F6F9FD"/>
            <w:tcMar>
              <w:top w:w="70" w:type="dxa"/>
              <w:left w:w="110" w:type="dxa"/>
              <w:bottom w:w="70" w:type="dxa"/>
              <w:right w:w="110" w:type="dxa"/>
            </w:tcMar>
          </w:tcPr>
          <w:p>
            <w:pPr>
              <w:spacing w:before="0" w:after="20"/>
            </w:pPr>
            <w:r>
              <w:rPr>
                <w:b/>
                <w:color w:val="1F4E79"/>
                <w:sz w:val="14"/>
                <w:shd w:val="clear" w:color="auto" w:fill="D9E2F3"/>
              </w:rPr>
              <w:t xml:space="preserve"> SUS </w:t>
            </w:r>
            <w:r>
              <w:rPr>
                <w:b/>
                <w:color w:val="556677"/>
                <w:sz w:val="15"/>
              </w:rPr>
              <w:t xml:space="preserve">  MINISTÉRIO DA SAÚDE · PORTARIA CONJUNTA SAES/SCTIE Nº 75/2026</w:t>
            </w:r>
          </w:p>
          <w:p>
            <w:pPr>
              <w:spacing w:before="0" w:after="20"/>
            </w:pPr>
            <w:r>
              <w:rPr>
                <w:b/>
                <w:color w:val="1F3864"/>
                <w:sz w:val="21"/>
              </w:rPr>
              <w:t>Portaria Conjunta SAES/SCTIE nº 75/2026 — 31/08/2026 (divulgada 15/09/2026)</w:t>
            </w:r>
          </w:p>
          <w:p>
            <w:pPr>
              <w:spacing w:before="0" w:after="0"/>
            </w:pPr>
            <w:r>
              <w:rPr>
                <w:i/>
                <w:color w:val="37475A"/>
                <w:sz w:val="18"/>
              </w:rPr>
              <w:t>Componente Especializado da Assistência Farmacêutica (CEAF) na Tabela SUS.</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Objeto</w:t>
            </w:r>
          </w:p>
        </w:tc>
        <w:tc>
          <w:tcPr>
            <w:tcW w:type="dxa" w:w="4968"/>
            <w:tcW w:w="7632" w:type="dxa"/>
            <w:tcMar>
              <w:top w:w="50" w:type="dxa"/>
              <w:left w:w="110" w:type="dxa"/>
              <w:bottom w:w="50" w:type="dxa"/>
              <w:right w:w="100" w:type="dxa"/>
            </w:tcMar>
            <w:vAlign w:val="top"/>
          </w:tcPr>
          <w:p>
            <w:pPr>
              <w:spacing w:before="0" w:after="0"/>
              <w:jc w:val="both"/>
            </w:pPr>
            <w:r>
              <w:rPr>
                <w:sz w:val="19"/>
              </w:rPr>
              <w:t>Altera procedimentos do CEAF. Paralelo com a Portaria Conjunta nº 68 noticiada na Edição 6.</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Fonte</w:t>
            </w:r>
          </w:p>
        </w:tc>
        <w:tc>
          <w:tcPr>
            <w:tcW w:type="dxa" w:w="4968"/>
            <w:tcW w:w="7632" w:type="dxa"/>
            <w:tcMar>
              <w:top w:w="50" w:type="dxa"/>
              <w:left w:w="110" w:type="dxa"/>
              <w:bottom w:w="50" w:type="dxa"/>
              <w:right w:w="100" w:type="dxa"/>
            </w:tcMar>
            <w:vAlign w:val="top"/>
          </w:tcPr>
          <w:p>
            <w:pPr>
              <w:spacing w:before="0" w:after="0"/>
              <w:jc w:val="both"/>
            </w:pPr>
            <w:hyperlink r:id="rId28">
              <w:r>
                <w:rPr>
                  <w:color w:val="1F4E79"/>
                  <w:u w:val="single"/>
                </w:rPr>
                <w:t xml:space="preserve">DOU — Portaria Conjunta SAES/SCTIE nº 75/2026</w:t>
              </w:r>
            </w:hyperlink>
          </w:p>
        </w:tc>
      </w:tr>
    </w:tbl>
    <w:p>
      <w:pPr>
        <w:spacing w:before="0" w:after="120"/>
      </w:pPr>
    </w:p>
    <w:tbl>
      <w:tblPr>
        <w:tblW w:type="auto" w:w="0"/>
        <w:jc w:val="center"/>
        <w:tblLook w:firstColumn="1" w:firstRow="1" w:lastColumn="0" w:lastRow="0" w:noHBand="0" w:noVBand="1" w:val="04A0"/>
        <w:tblBorders>
          <w:top w:val="single" w:sz="4" w:space="0" w:color="D7DDE8"/>
          <w:left w:val="single" w:sz="24" w:space="0" w:color="1F4E79"/>
          <w:bottom w:val="single" w:sz="4" w:space="0" w:color="D7DDE8"/>
          <w:right w:val="single" w:sz="4" w:space="0" w:color="D7DDE8"/>
          <w:insideH w:val="single" w:sz="4" w:space="0" w:color="D7DDE8"/>
          <w:insideV w:val="nil"/>
        </w:tblBorders>
      </w:tblPr>
      <w:tblGrid>
        <w:gridCol w:w="4968"/>
        <w:gridCol w:w="4968"/>
      </w:tblGrid>
      <w:tr>
        <w:tc>
          <w:tcPr>
            <w:tcW w:type="dxa" w:w="9936"/>
            <w:gridSpan w:val="2"/>
            <w:shd w:val="clear" w:color="auto" w:fill="F6F9FD"/>
            <w:tcMar>
              <w:top w:w="70" w:type="dxa"/>
              <w:left w:w="110" w:type="dxa"/>
              <w:bottom w:w="70" w:type="dxa"/>
              <w:right w:w="110" w:type="dxa"/>
            </w:tcMar>
          </w:tcPr>
          <w:p>
            <w:pPr>
              <w:spacing w:before="0" w:after="20"/>
            </w:pPr>
            <w:r>
              <w:rPr>
                <w:b/>
                <w:color w:val="1F4E79"/>
                <w:sz w:val="14"/>
                <w:shd w:val="clear" w:color="auto" w:fill="D9E2F3"/>
              </w:rPr>
              <w:t xml:space="preserve"> SUS </w:t>
            </w:r>
            <w:r>
              <w:rPr>
                <w:b/>
                <w:color w:val="556677"/>
                <w:sz w:val="15"/>
              </w:rPr>
              <w:t xml:space="preserve">  MINISTÉRIO DA SAÚDE · PORTARIA SAES/MS Nº 4.965/2026</w:t>
            </w:r>
          </w:p>
          <w:p>
            <w:pPr>
              <w:spacing w:before="0" w:after="20"/>
            </w:pPr>
            <w:r>
              <w:rPr>
                <w:b/>
                <w:color w:val="1F3864"/>
                <w:sz w:val="21"/>
              </w:rPr>
              <w:t>Portaria SAES/MS nº 4.965/2026 — 21/09/2026 (publicada 30/09/2026)</w:t>
            </w:r>
          </w:p>
          <w:p>
            <w:pPr>
              <w:spacing w:before="0" w:after="0"/>
            </w:pPr>
            <w:r>
              <w:rPr>
                <w:i/>
                <w:color w:val="37475A"/>
                <w:sz w:val="18"/>
              </w:rPr>
              <w:t>Cuidados paliativos na Tabela SUS (PNCP).</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Objeto</w:t>
            </w:r>
          </w:p>
        </w:tc>
        <w:tc>
          <w:tcPr>
            <w:tcW w:type="dxa" w:w="4968"/>
            <w:tcW w:w="7632" w:type="dxa"/>
            <w:tcMar>
              <w:top w:w="50" w:type="dxa"/>
              <w:left w:w="110" w:type="dxa"/>
              <w:bottom w:w="50" w:type="dxa"/>
              <w:right w:w="100" w:type="dxa"/>
            </w:tcMar>
            <w:vAlign w:val="top"/>
          </w:tcPr>
          <w:p>
            <w:pPr>
              <w:spacing w:before="0" w:after="0"/>
              <w:jc w:val="both"/>
            </w:pPr>
            <w:r>
              <w:rPr>
                <w:sz w:val="19"/>
              </w:rPr>
              <w:t>Altera atributos de procedimentos relacionados à Política Nacional de Cuidados Paliativos (PNCP).</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Fonte</w:t>
            </w:r>
          </w:p>
        </w:tc>
        <w:tc>
          <w:tcPr>
            <w:tcW w:type="dxa" w:w="4968"/>
            <w:tcW w:w="7632" w:type="dxa"/>
            <w:tcMar>
              <w:top w:w="50" w:type="dxa"/>
              <w:left w:w="110" w:type="dxa"/>
              <w:bottom w:w="50" w:type="dxa"/>
              <w:right w:w="100" w:type="dxa"/>
            </w:tcMar>
            <w:vAlign w:val="top"/>
          </w:tcPr>
          <w:p>
            <w:pPr>
              <w:spacing w:before="0" w:after="0"/>
              <w:jc w:val="both"/>
            </w:pPr>
            <w:hyperlink r:id="rId29">
              <w:r>
                <w:rPr>
                  <w:color w:val="1F4E79"/>
                  <w:u w:val="single"/>
                </w:rPr>
                <w:t xml:space="preserve">DOU — Portaria SAES/MS nº 4.965/2026</w:t>
              </w:r>
            </w:hyperlink>
          </w:p>
        </w:tc>
      </w:tr>
    </w:tbl>
    <w:p>
      <w:pPr>
        <w:spacing w:before="0" w:after="120"/>
      </w:pPr>
    </w:p>
    <w:tbl>
      <w:tblPr>
        <w:tblW w:type="auto" w:w="0"/>
        <w:jc w:val="center"/>
        <w:tblLook w:firstColumn="1" w:firstRow="1" w:lastColumn="0" w:lastRow="0" w:noHBand="0" w:noVBand="1" w:val="04A0"/>
        <w:tblBorders>
          <w:top w:val="single" w:sz="4" w:space="0" w:color="D7DDE8"/>
          <w:left w:val="single" w:sz="24" w:space="0" w:color="1F4E79"/>
          <w:bottom w:val="single" w:sz="4" w:space="0" w:color="D7DDE8"/>
          <w:right w:val="single" w:sz="4" w:space="0" w:color="D7DDE8"/>
          <w:insideH w:val="single" w:sz="4" w:space="0" w:color="D7DDE8"/>
          <w:insideV w:val="nil"/>
        </w:tblBorders>
      </w:tblPr>
      <w:tblGrid>
        <w:gridCol w:w="4968"/>
        <w:gridCol w:w="4968"/>
      </w:tblGrid>
      <w:tr>
        <w:tc>
          <w:tcPr>
            <w:tcW w:type="dxa" w:w="9936"/>
            <w:gridSpan w:val="2"/>
            <w:shd w:val="clear" w:color="auto" w:fill="F6F9FD"/>
            <w:tcMar>
              <w:top w:w="70" w:type="dxa"/>
              <w:left w:w="110" w:type="dxa"/>
              <w:bottom w:w="70" w:type="dxa"/>
              <w:right w:w="110" w:type="dxa"/>
            </w:tcMar>
          </w:tcPr>
          <w:p>
            <w:pPr>
              <w:spacing w:before="0" w:after="20"/>
            </w:pPr>
            <w:r>
              <w:rPr>
                <w:b/>
                <w:color w:val="1F4E79"/>
                <w:sz w:val="14"/>
                <w:shd w:val="clear" w:color="auto" w:fill="D9E2F3"/>
              </w:rPr>
              <w:t xml:space="preserve"> SUS </w:t>
            </w:r>
            <w:r>
              <w:rPr>
                <w:b/>
                <w:color w:val="556677"/>
                <w:sz w:val="15"/>
              </w:rPr>
              <w:t xml:space="preserve">  MINISTÉRIO DA SAÚDE · PORTARIA GM/MS Nº 12.174/2026</w:t>
            </w:r>
          </w:p>
          <w:p>
            <w:pPr>
              <w:spacing w:before="0" w:after="20"/>
            </w:pPr>
            <w:r>
              <w:rPr>
                <w:b/>
                <w:color w:val="1F3864"/>
                <w:sz w:val="21"/>
              </w:rPr>
              <w:t>Portaria GM/MS nº 12.174/2026 — 21/09/2026</w:t>
            </w:r>
          </w:p>
          <w:p>
            <w:pPr>
              <w:spacing w:before="0" w:after="0"/>
            </w:pPr>
            <w:r>
              <w:rPr>
                <w:i/>
                <w:color w:val="37475A"/>
                <w:sz w:val="18"/>
              </w:rPr>
              <w:t>Programa Agora Tem Especialistas — limites financeiros por UF (2026).</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Objeto</w:t>
            </w:r>
          </w:p>
        </w:tc>
        <w:tc>
          <w:tcPr>
            <w:tcW w:type="dxa" w:w="4968"/>
            <w:tcW w:w="7632" w:type="dxa"/>
            <w:tcMar>
              <w:top w:w="50" w:type="dxa"/>
              <w:left w:w="110" w:type="dxa"/>
              <w:bottom w:w="50" w:type="dxa"/>
              <w:right w:w="100" w:type="dxa"/>
            </w:tcMar>
            <w:vAlign w:val="top"/>
          </w:tcPr>
          <w:p>
            <w:pPr>
              <w:spacing w:before="0" w:after="0"/>
              <w:jc w:val="both"/>
            </w:pPr>
            <w:r>
              <w:rPr>
                <w:sz w:val="19"/>
              </w:rPr>
              <w:t>Altera limites financeiros por UF dos componentes ambulatorial e cirúrgico.</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Fonte</w:t>
            </w:r>
          </w:p>
        </w:tc>
        <w:tc>
          <w:tcPr>
            <w:tcW w:type="dxa" w:w="4968"/>
            <w:tcW w:w="7632" w:type="dxa"/>
            <w:tcMar>
              <w:top w:w="50" w:type="dxa"/>
              <w:left w:w="110" w:type="dxa"/>
              <w:bottom w:w="50" w:type="dxa"/>
              <w:right w:w="100" w:type="dxa"/>
            </w:tcMar>
            <w:vAlign w:val="top"/>
          </w:tcPr>
          <w:p>
            <w:pPr>
              <w:spacing w:before="0" w:after="0"/>
              <w:jc w:val="both"/>
            </w:pPr>
            <w:hyperlink r:id="rId30">
              <w:r>
                <w:rPr>
                  <w:color w:val="1F4E79"/>
                  <w:u w:val="single"/>
                </w:rPr>
                <w:t xml:space="preserve">DOU — Portaria GM/MS nº 12.174/2026</w:t>
              </w:r>
            </w:hyperlink>
          </w:p>
        </w:tc>
      </w:tr>
    </w:tbl>
    <w:p>
      <w:pPr>
        <w:spacing w:before="0" w:after="120"/>
      </w:pPr>
    </w:p>
    <w:tbl>
      <w:tblPr>
        <w:tblW w:type="auto" w:w="0"/>
        <w:jc w:val="center"/>
        <w:tblLook w:firstColumn="1" w:firstRow="1" w:lastColumn="0" w:lastRow="0" w:noHBand="0" w:noVBand="1" w:val="04A0"/>
        <w:tblBorders>
          <w:top w:val="single" w:sz="4" w:space="0" w:color="D7DDE8"/>
          <w:left w:val="single" w:sz="24" w:space="0" w:color="1F4E79"/>
          <w:bottom w:val="single" w:sz="4" w:space="0" w:color="D7DDE8"/>
          <w:right w:val="single" w:sz="4" w:space="0" w:color="D7DDE8"/>
          <w:insideH w:val="single" w:sz="4" w:space="0" w:color="D7DDE8"/>
          <w:insideV w:val="nil"/>
        </w:tblBorders>
      </w:tblPr>
      <w:tblGrid>
        <w:gridCol w:w="4968"/>
        <w:gridCol w:w="4968"/>
      </w:tblGrid>
      <w:tr>
        <w:tc>
          <w:tcPr>
            <w:tcW w:type="dxa" w:w="9936"/>
            <w:gridSpan w:val="2"/>
            <w:shd w:val="clear" w:color="auto" w:fill="F6F9FD"/>
            <w:tcMar>
              <w:top w:w="70" w:type="dxa"/>
              <w:left w:w="110" w:type="dxa"/>
              <w:bottom w:w="70" w:type="dxa"/>
              <w:right w:w="110" w:type="dxa"/>
            </w:tcMar>
          </w:tcPr>
          <w:p>
            <w:pPr>
              <w:spacing w:before="0" w:after="20"/>
            </w:pPr>
            <w:r>
              <w:rPr>
                <w:b/>
                <w:color w:val="1F4E79"/>
                <w:sz w:val="14"/>
                <w:shd w:val="clear" w:color="auto" w:fill="D9E2F3"/>
              </w:rPr>
              <w:t xml:space="preserve"> SUS </w:t>
            </w:r>
            <w:r>
              <w:rPr>
                <w:b/>
                <w:color w:val="556677"/>
                <w:sz w:val="15"/>
              </w:rPr>
              <w:t xml:space="preserve">  MINISTÉRIO DA SAÚDE · PORTARIA GM/MS Nº 12.137/2026</w:t>
            </w:r>
          </w:p>
          <w:p>
            <w:pPr>
              <w:spacing w:before="0" w:after="20"/>
            </w:pPr>
            <w:r>
              <w:rPr>
                <w:b/>
                <w:color w:val="1F3864"/>
                <w:sz w:val="21"/>
              </w:rPr>
              <w:t>Portaria GM/MS nº 12.137/2026 — 17/09/2026</w:t>
            </w:r>
          </w:p>
          <w:p>
            <w:pPr>
              <w:spacing w:before="0" w:after="0"/>
            </w:pPr>
            <w:r>
              <w:rPr>
                <w:i/>
                <w:color w:val="37475A"/>
                <w:sz w:val="18"/>
              </w:rPr>
              <w:t>Rede Vigidesastres (altera a PRC nº 5/2017).</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Objeto</w:t>
            </w:r>
          </w:p>
        </w:tc>
        <w:tc>
          <w:tcPr>
            <w:tcW w:type="dxa" w:w="4968"/>
            <w:tcW w:w="7632" w:type="dxa"/>
            <w:tcMar>
              <w:top w:w="50" w:type="dxa"/>
              <w:left w:w="110" w:type="dxa"/>
              <w:bottom w:w="50" w:type="dxa"/>
              <w:right w:w="100" w:type="dxa"/>
            </w:tcMar>
            <w:vAlign w:val="top"/>
          </w:tcPr>
          <w:p>
            <w:pPr>
              <w:spacing w:before="0" w:after="0"/>
              <w:jc w:val="both"/>
            </w:pPr>
            <w:r>
              <w:rPr>
                <w:sz w:val="19"/>
              </w:rPr>
              <w:t>Institui a Rede Vigidesastres; substitui a Portaria nº 4.185/2022.</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Fonte</w:t>
            </w:r>
          </w:p>
        </w:tc>
        <w:tc>
          <w:tcPr>
            <w:tcW w:type="dxa" w:w="4968"/>
            <w:tcW w:w="7632" w:type="dxa"/>
            <w:tcMar>
              <w:top w:w="50" w:type="dxa"/>
              <w:left w:w="110" w:type="dxa"/>
              <w:bottom w:w="50" w:type="dxa"/>
              <w:right w:w="100" w:type="dxa"/>
            </w:tcMar>
            <w:vAlign w:val="top"/>
          </w:tcPr>
          <w:p>
            <w:pPr>
              <w:spacing w:before="0" w:after="0"/>
              <w:jc w:val="both"/>
            </w:pPr>
            <w:hyperlink r:id="rId31">
              <w:r>
                <w:rPr>
                  <w:color w:val="1F4E79"/>
                  <w:u w:val="single"/>
                </w:rPr>
                <w:t xml:space="preserve">DOU — Portaria GM/MS nº 12.137/2026</w:t>
              </w:r>
            </w:hyperlink>
          </w:p>
        </w:tc>
      </w:tr>
    </w:tbl>
    <w:p>
      <w:pPr>
        <w:spacing w:before="0" w:after="120"/>
      </w:pPr>
    </w:p>
    <w:tbl>
      <w:tblPr>
        <w:tblW w:type="auto" w:w="0"/>
        <w:jc w:val="center"/>
        <w:tblLook w:firstColumn="1" w:firstRow="1" w:lastColumn="0" w:lastRow="0" w:noHBand="0" w:noVBand="1" w:val="04A0"/>
        <w:tblBorders>
          <w:top w:val="single" w:sz="4" w:space="0" w:color="D7DDE8"/>
          <w:left w:val="single" w:sz="24" w:space="0" w:color="1F4E79"/>
          <w:bottom w:val="single" w:sz="4" w:space="0" w:color="D7DDE8"/>
          <w:right w:val="single" w:sz="4" w:space="0" w:color="D7DDE8"/>
          <w:insideH w:val="single" w:sz="4" w:space="0" w:color="D7DDE8"/>
          <w:insideV w:val="nil"/>
        </w:tblBorders>
      </w:tblPr>
      <w:tblGrid>
        <w:gridCol w:w="4968"/>
        <w:gridCol w:w="4968"/>
      </w:tblGrid>
      <w:tr>
        <w:tc>
          <w:tcPr>
            <w:tcW w:type="dxa" w:w="9936"/>
            <w:gridSpan w:val="2"/>
            <w:shd w:val="clear" w:color="auto" w:fill="F6F9FD"/>
            <w:tcMar>
              <w:top w:w="70" w:type="dxa"/>
              <w:left w:w="110" w:type="dxa"/>
              <w:bottom w:w="70" w:type="dxa"/>
              <w:right w:w="110" w:type="dxa"/>
            </w:tcMar>
          </w:tcPr>
          <w:p>
            <w:pPr>
              <w:spacing w:before="0" w:after="20"/>
            </w:pPr>
            <w:r>
              <w:rPr>
                <w:b/>
                <w:color w:val="1F4E79"/>
                <w:sz w:val="14"/>
                <w:shd w:val="clear" w:color="auto" w:fill="D9E2F3"/>
              </w:rPr>
              <w:t xml:space="preserve"> SUS </w:t>
            </w:r>
            <w:r>
              <w:rPr>
                <w:b/>
                <w:color w:val="556677"/>
                <w:sz w:val="15"/>
              </w:rPr>
              <w:t xml:space="preserve">  MINISTÉRIO DA SAÚDE · PORTARIAS SAES/MS 4.960, 4.904 E 4.857</w:t>
            </w:r>
          </w:p>
          <w:p>
            <w:pPr>
              <w:spacing w:before="0" w:after="20"/>
            </w:pPr>
            <w:r>
              <w:rPr>
                <w:b/>
                <w:color w:val="1F3864"/>
                <w:sz w:val="21"/>
              </w:rPr>
              <w:t>Portarias SAES/MS nº 4.960, 4.904 e 4.857 — 14 a 18/09/2026</w:t>
            </w:r>
          </w:p>
          <w:p>
            <w:pPr>
              <w:spacing w:before="0" w:after="0"/>
            </w:pPr>
            <w:r>
              <w:rPr>
                <w:i/>
                <w:color w:val="37475A"/>
                <w:sz w:val="18"/>
              </w:rPr>
              <w:t>Ajustes na Tabela SUS/CNES.</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Objeto</w:t>
            </w:r>
          </w:p>
        </w:tc>
        <w:tc>
          <w:tcPr>
            <w:tcW w:type="dxa" w:w="4968"/>
            <w:tcW w:w="7632" w:type="dxa"/>
            <w:tcMar>
              <w:top w:w="50" w:type="dxa"/>
              <w:left w:w="110" w:type="dxa"/>
              <w:bottom w:w="50" w:type="dxa"/>
              <w:right w:w="100" w:type="dxa"/>
            </w:tcMar>
            <w:vAlign w:val="top"/>
          </w:tcPr>
          <w:p>
            <w:pPr>
              <w:spacing w:before="0" w:after="0"/>
              <w:jc w:val="both"/>
            </w:pPr>
            <w:r>
              <w:rPr>
                <w:sz w:val="19"/>
              </w:rPr>
              <w:t>Dermatoscopia e teledermatologia (4.960); veículos para transporte de pacientes em radioterapia e hemodiálise (4.904); atributos de procedimentos (4.857).</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Fonte</w:t>
            </w:r>
          </w:p>
        </w:tc>
        <w:tc>
          <w:tcPr>
            <w:tcW w:type="dxa" w:w="4968"/>
            <w:tcW w:w="7632" w:type="dxa"/>
            <w:tcMar>
              <w:top w:w="50" w:type="dxa"/>
              <w:left w:w="110" w:type="dxa"/>
              <w:bottom w:w="50" w:type="dxa"/>
              <w:right w:w="100" w:type="dxa"/>
            </w:tcMar>
            <w:vAlign w:val="top"/>
          </w:tcPr>
          <w:p>
            <w:pPr>
              <w:spacing w:before="0" w:after="0"/>
              <w:jc w:val="both"/>
            </w:pPr>
            <w:hyperlink r:id="rId32">
              <w:r>
                <w:rPr>
                  <w:color w:val="1F4E79"/>
                  <w:u w:val="single"/>
                </w:rPr>
                <w:t xml:space="preserve">DOU — Portaria SAES/MS nº 4.960/2026</w:t>
              </w:r>
            </w:hyperlink>
            <w:r>
              <w:rPr>
                <w:sz w:val="19"/>
              </w:rPr>
              <w:t xml:space="preserve"> · </w:t>
            </w:r>
            <w:hyperlink r:id="rId33">
              <w:r>
                <w:rPr>
                  <w:color w:val="1F4E79"/>
                  <w:u w:val="single"/>
                </w:rPr>
                <w:t xml:space="preserve">DOU — Portaria SAES/MS nº 4.904/2026</w:t>
              </w:r>
            </w:hyperlink>
            <w:r>
              <w:rPr>
                <w:sz w:val="19"/>
              </w:rPr>
              <w:t xml:space="preserve"> · </w:t>
            </w:r>
            <w:hyperlink r:id="rId34">
              <w:r>
                <w:rPr>
                  <w:color w:val="1F4E79"/>
                  <w:u w:val="single"/>
                </w:rPr>
                <w:t xml:space="preserve">DOU — Portaria SAES/MS nº 4.857/2026</w:t>
              </w:r>
            </w:hyperlink>
          </w:p>
        </w:tc>
      </w:tr>
    </w:tbl>
    <w:p>
      <w:pPr>
        <w:spacing w:before="0" w:after="120"/>
      </w:pPr>
    </w:p>
    <w:tbl>
      <w:tblPr>
        <w:tblW w:type="auto" w:w="0"/>
        <w:jc w:val="center"/>
        <w:tblLook w:firstColumn="1" w:firstRow="1" w:lastColumn="0" w:lastRow="0" w:noHBand="0" w:noVBand="1" w:val="04A0"/>
        <w:tblBorders>
          <w:top w:val="single" w:sz="4" w:space="0" w:color="D7DDE8"/>
          <w:left w:val="single" w:sz="24" w:space="0" w:color="1F4E79"/>
          <w:bottom w:val="single" w:sz="4" w:space="0" w:color="D7DDE8"/>
          <w:right w:val="single" w:sz="4" w:space="0" w:color="D7DDE8"/>
          <w:insideH w:val="single" w:sz="4" w:space="0" w:color="D7DDE8"/>
          <w:insideV w:val="nil"/>
        </w:tblBorders>
      </w:tblPr>
      <w:tblGrid>
        <w:gridCol w:w="4968"/>
        <w:gridCol w:w="4968"/>
      </w:tblGrid>
      <w:tr>
        <w:tc>
          <w:tcPr>
            <w:tcW w:type="dxa" w:w="9936"/>
            <w:gridSpan w:val="2"/>
            <w:shd w:val="clear" w:color="auto" w:fill="F6F9FD"/>
            <w:tcMar>
              <w:top w:w="70" w:type="dxa"/>
              <w:left w:w="110" w:type="dxa"/>
              <w:bottom w:w="70" w:type="dxa"/>
              <w:right w:w="110" w:type="dxa"/>
            </w:tcMar>
          </w:tcPr>
          <w:p>
            <w:pPr>
              <w:spacing w:before="0" w:after="20"/>
            </w:pPr>
            <w:r>
              <w:rPr>
                <w:b/>
                <w:color w:val="1F4E79"/>
                <w:sz w:val="14"/>
                <w:shd w:val="clear" w:color="auto" w:fill="D9E2F3"/>
              </w:rPr>
              <w:t xml:space="preserve"> SUS </w:t>
            </w:r>
            <w:r>
              <w:rPr>
                <w:b/>
                <w:color w:val="556677"/>
                <w:sz w:val="15"/>
              </w:rPr>
              <w:t xml:space="preserve">  MINISTÉRIO DA SAÚDE · PEDIDO À CONITEC — CANETAS GLP-1</w:t>
            </w:r>
          </w:p>
          <w:p>
            <w:pPr>
              <w:spacing w:before="0" w:after="20"/>
            </w:pPr>
            <w:r>
              <w:rPr>
                <w:b/>
                <w:color w:val="1F3864"/>
                <w:sz w:val="21"/>
              </w:rPr>
              <w:t>Pedido de incorporação — 24/09/2026</w:t>
            </w:r>
          </w:p>
          <w:p>
            <w:pPr>
              <w:spacing w:before="0" w:after="0"/>
            </w:pPr>
            <w:r>
              <w:rPr>
                <w:i/>
                <w:color w:val="37475A"/>
                <w:sz w:val="18"/>
              </w:rPr>
              <w:t>Semaglutida/liraglutida (sem patente) para obesidade.</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Objeto</w:t>
            </w:r>
          </w:p>
        </w:tc>
        <w:tc>
          <w:tcPr>
            <w:tcW w:type="dxa" w:w="4968"/>
            <w:tcW w:w="7632" w:type="dxa"/>
            <w:tcMar>
              <w:top w:w="50" w:type="dxa"/>
              <w:left w:w="110" w:type="dxa"/>
              <w:bottom w:w="50" w:type="dxa"/>
              <w:right w:w="100" w:type="dxa"/>
            </w:tcMar>
            <w:vAlign w:val="top"/>
          </w:tcPr>
          <w:p>
            <w:pPr>
              <w:spacing w:before="0" w:after="0"/>
              <w:jc w:val="both"/>
            </w:pPr>
            <w:r>
              <w:rPr>
                <w:sz w:val="19"/>
              </w:rPr>
              <w:t>O MS protocolou na CONITEC pedido de avaliação de semaglutida ou liraglutida (sem patente) para obesidade; 25 produtos registrados (14 em 2026); estimativa de R$ 1,5 bilhão/ano.</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Fonte</w:t>
            </w:r>
          </w:p>
        </w:tc>
        <w:tc>
          <w:tcPr>
            <w:tcW w:type="dxa" w:w="4968"/>
            <w:tcW w:w="7632" w:type="dxa"/>
            <w:tcMar>
              <w:top w:w="50" w:type="dxa"/>
              <w:left w:w="110" w:type="dxa"/>
              <w:bottom w:w="50" w:type="dxa"/>
              <w:right w:w="100" w:type="dxa"/>
            </w:tcMar>
            <w:vAlign w:val="top"/>
          </w:tcPr>
          <w:p>
            <w:pPr>
              <w:spacing w:before="0" w:after="0"/>
              <w:jc w:val="both"/>
            </w:pPr>
            <w:hyperlink r:id="rId35">
              <w:r>
                <w:rPr>
                  <w:color w:val="1F4E79"/>
                  <w:u w:val="single"/>
                </w:rPr>
                <w:t xml:space="preserve">MS — pedido à CONITEC</w:t>
              </w:r>
            </w:hyperlink>
          </w:p>
        </w:tc>
      </w:tr>
    </w:tbl>
    <w:p>
      <w:pPr>
        <w:spacing w:before="0" w:after="120"/>
      </w:pPr>
    </w:p>
    <w:tbl>
      <w:tblPr>
        <w:tblW w:type="auto" w:w="0"/>
        <w:jc w:val="center"/>
        <w:tblLook w:firstColumn="1" w:firstRow="1" w:lastColumn="0" w:lastRow="0" w:noHBand="0" w:noVBand="1" w:val="04A0"/>
        <w:tblBorders>
          <w:top w:val="single" w:sz="4" w:space="0" w:color="D7DDE8"/>
          <w:left w:val="single" w:sz="24" w:space="0" w:color="1F4E79"/>
          <w:bottom w:val="single" w:sz="4" w:space="0" w:color="D7DDE8"/>
          <w:right w:val="single" w:sz="4" w:space="0" w:color="D7DDE8"/>
          <w:insideH w:val="single" w:sz="4" w:space="0" w:color="D7DDE8"/>
          <w:insideV w:val="nil"/>
        </w:tblBorders>
      </w:tblPr>
      <w:tblGrid>
        <w:gridCol w:w="4968"/>
        <w:gridCol w:w="4968"/>
      </w:tblGrid>
      <w:tr>
        <w:tc>
          <w:tcPr>
            <w:tcW w:type="dxa" w:w="9936"/>
            <w:gridSpan w:val="2"/>
            <w:shd w:val="clear" w:color="auto" w:fill="F6F9FD"/>
            <w:tcMar>
              <w:top w:w="70" w:type="dxa"/>
              <w:left w:w="110" w:type="dxa"/>
              <w:bottom w:w="70" w:type="dxa"/>
              <w:right w:w="110" w:type="dxa"/>
            </w:tcMar>
          </w:tcPr>
          <w:p>
            <w:pPr>
              <w:spacing w:before="0" w:after="20"/>
            </w:pPr>
            <w:r>
              <w:rPr>
                <w:b/>
                <w:color w:val="1F4E79"/>
                <w:sz w:val="14"/>
                <w:shd w:val="clear" w:color="auto" w:fill="D9E2F3"/>
              </w:rPr>
              <w:t xml:space="preserve"> SUS </w:t>
            </w:r>
            <w:r>
              <w:rPr>
                <w:b/>
                <w:color w:val="556677"/>
                <w:sz w:val="15"/>
              </w:rPr>
              <w:t xml:space="preserve">  MINISTÉRIO DA SAÚDE · AF-ONCO (REMANESCENTE DA ED. 6)</w:t>
            </w:r>
          </w:p>
          <w:p>
            <w:pPr>
              <w:spacing w:before="0" w:after="20"/>
            </w:pPr>
            <w:r>
              <w:rPr>
                <w:b/>
                <w:color w:val="1F3864"/>
                <w:sz w:val="21"/>
              </w:rPr>
              <w:t>AF-Onco — priorização de tecnologias — CIT 27/08/2026 (notícia 02/09/2026)</w:t>
            </w:r>
          </w:p>
          <w:p>
            <w:pPr>
              <w:spacing w:before="0" w:after="0"/>
            </w:pPr>
            <w:r>
              <w:rPr>
                <w:i/>
                <w:color w:val="37475A"/>
                <w:sz w:val="18"/>
              </w:rPr>
              <w:t>Regulamentação do Componente da Assistência Farmacêutica em Oncologia.</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Objeto</w:t>
            </w:r>
          </w:p>
        </w:tc>
        <w:tc>
          <w:tcPr>
            <w:tcW w:type="dxa" w:w="4968"/>
            <w:tcW w:w="7632" w:type="dxa"/>
            <w:tcMar>
              <w:top w:w="50" w:type="dxa"/>
              <w:left w:w="110" w:type="dxa"/>
              <w:bottom w:w="50" w:type="dxa"/>
              <w:right w:w="100" w:type="dxa"/>
            </w:tcMar>
            <w:vAlign w:val="top"/>
          </w:tcPr>
          <w:p>
            <w:pPr>
              <w:spacing w:before="0" w:after="0"/>
              <w:jc w:val="both"/>
            </w:pPr>
            <w:r>
              <w:rPr>
                <w:sz w:val="19"/>
              </w:rPr>
              <w:t>Priorização tripartite de tecnologias incorporada ao Cap. II da Portaria GM/MS nº 8.477/2025. Sem portaria autônoma de priorização no período; matéria pactuada na CIT de 27/08 e operacionalizada por portarias já mapeadas.</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Fonte</w:t>
            </w:r>
          </w:p>
        </w:tc>
        <w:tc>
          <w:tcPr>
            <w:tcW w:type="dxa" w:w="4968"/>
            <w:tcW w:w="7632" w:type="dxa"/>
            <w:tcMar>
              <w:top w:w="50" w:type="dxa"/>
              <w:left w:w="110" w:type="dxa"/>
              <w:bottom w:w="50" w:type="dxa"/>
              <w:right w:w="100" w:type="dxa"/>
            </w:tcMar>
            <w:vAlign w:val="top"/>
          </w:tcPr>
          <w:p>
            <w:pPr>
              <w:spacing w:before="0" w:after="0"/>
              <w:jc w:val="both"/>
            </w:pPr>
            <w:hyperlink r:id="rId36">
              <w:r>
                <w:rPr>
                  <w:color w:val="1F4E79"/>
                  <w:u w:val="single"/>
                </w:rPr>
                <w:t xml:space="preserve">MS — notícia</w:t>
              </w:r>
            </w:hyperlink>
          </w:p>
        </w:tc>
      </w:tr>
    </w:tbl>
    <w:p>
      <w:pPr>
        <w:spacing w:before="0" w:after="120"/>
      </w:pPr>
    </w:p>
    <w:tbl>
      <w:tblPr>
        <w:tblW w:type="auto" w:w="0"/>
        <w:jc w:val="center"/>
        <w:tblLook w:firstColumn="1" w:firstRow="1" w:lastColumn="0" w:lastRow="0" w:noHBand="0" w:noVBand="1" w:val="04A0"/>
        <w:tblBorders>
          <w:top w:val="single" w:sz="4" w:space="0" w:color="D7DDE8"/>
          <w:left w:val="single" w:sz="24" w:space="0" w:color="1F4E79"/>
          <w:bottom w:val="single" w:sz="4" w:space="0" w:color="D7DDE8"/>
          <w:right w:val="single" w:sz="4" w:space="0" w:color="D7DDE8"/>
          <w:insideH w:val="single" w:sz="4" w:space="0" w:color="D7DDE8"/>
          <w:insideV w:val="nil"/>
        </w:tblBorders>
      </w:tblPr>
      <w:tblGrid>
        <w:gridCol w:w="4968"/>
        <w:gridCol w:w="4968"/>
      </w:tblGrid>
      <w:tr>
        <w:tc>
          <w:tcPr>
            <w:tcW w:type="dxa" w:w="9936"/>
            <w:gridSpan w:val="2"/>
            <w:shd w:val="clear" w:color="auto" w:fill="F6F9FD"/>
            <w:tcMar>
              <w:top w:w="70" w:type="dxa"/>
              <w:left w:w="110" w:type="dxa"/>
              <w:bottom w:w="70" w:type="dxa"/>
              <w:right w:w="110" w:type="dxa"/>
            </w:tcMar>
          </w:tcPr>
          <w:p>
            <w:pPr>
              <w:spacing w:before="0" w:after="20"/>
            </w:pPr>
            <w:r>
              <w:rPr>
                <w:b/>
                <w:color w:val="1F4E79"/>
                <w:sz w:val="14"/>
                <w:shd w:val="clear" w:color="auto" w:fill="D9E2F3"/>
              </w:rPr>
              <w:t xml:space="preserve"> SUS </w:t>
            </w:r>
            <w:r>
              <w:rPr>
                <w:b/>
                <w:color w:val="556677"/>
                <w:sz w:val="15"/>
              </w:rPr>
              <w:t xml:space="preserve">  MINISTÉRIO DA SAÚDE · VACINA PNEUMOCÓCICA 20-VALENTE</w:t>
            </w:r>
          </w:p>
          <w:p>
            <w:pPr>
              <w:spacing w:before="0" w:after="20"/>
            </w:pPr>
            <w:r>
              <w:rPr>
                <w:b/>
                <w:color w:val="1F3864"/>
                <w:sz w:val="21"/>
              </w:rPr>
              <w:t>Oferta no SUS — 14/09/2026</w:t>
            </w:r>
          </w:p>
          <w:p>
            <w:pPr>
              <w:spacing w:before="0" w:after="0"/>
            </w:pPr>
            <w:r>
              <w:rPr>
                <w:i/>
                <w:color w:val="37475A"/>
                <w:sz w:val="18"/>
              </w:rPr>
              <w:t>Pneumo20 para pessoas com 85 anos ou mais.</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Objeto</w:t>
            </w:r>
          </w:p>
        </w:tc>
        <w:tc>
          <w:tcPr>
            <w:tcW w:type="dxa" w:w="4968"/>
            <w:tcW w:w="7632" w:type="dxa"/>
            <w:tcMar>
              <w:top w:w="50" w:type="dxa"/>
              <w:left w:w="110" w:type="dxa"/>
              <w:bottom w:w="50" w:type="dxa"/>
              <w:right w:w="100" w:type="dxa"/>
            </w:tcMar>
            <w:vAlign w:val="top"/>
          </w:tcPr>
          <w:p>
            <w:pPr>
              <w:spacing w:before="0" w:after="0"/>
              <w:jc w:val="both"/>
            </w:pPr>
            <w:r>
              <w:rPr>
                <w:sz w:val="19"/>
              </w:rPr>
              <w:t>Oferta no SUS para pessoas com 85 anos ou mais (≈ 2,3 milhões).</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Fonte</w:t>
            </w:r>
          </w:p>
        </w:tc>
        <w:tc>
          <w:tcPr>
            <w:tcW w:type="dxa" w:w="4968"/>
            <w:tcW w:w="7632" w:type="dxa"/>
            <w:tcMar>
              <w:top w:w="50" w:type="dxa"/>
              <w:left w:w="110" w:type="dxa"/>
              <w:bottom w:w="50" w:type="dxa"/>
              <w:right w:w="100" w:type="dxa"/>
            </w:tcMar>
            <w:vAlign w:val="top"/>
          </w:tcPr>
          <w:p>
            <w:pPr>
              <w:spacing w:before="0" w:after="0"/>
              <w:jc w:val="both"/>
            </w:pPr>
            <w:hyperlink r:id="rId37">
              <w:r>
                <w:rPr>
                  <w:color w:val="1F4E79"/>
                  <w:u w:val="single"/>
                </w:rPr>
                <w:t xml:space="preserve">MS — notícia</w:t>
              </w:r>
            </w:hyperlink>
          </w:p>
        </w:tc>
      </w:tr>
    </w:tbl>
    <w:p>
      <w:pPr>
        <w:spacing w:before="0" w:after="120"/>
      </w:pPr>
    </w:p>
    <w:tbl>
      <w:tblPr>
        <w:tblW w:type="auto" w:w="0"/>
        <w:jc w:val="center"/>
        <w:tblLook w:firstColumn="1" w:firstRow="1" w:lastColumn="0" w:lastRow="0" w:noHBand="0" w:noVBand="1" w:val="04A0"/>
        <w:tblBorders>
          <w:top w:val="single" w:sz="8" w:space="0" w:color="BF8F00"/>
          <w:left w:val="single" w:sz="18" w:space="0" w:color="BF8F00"/>
          <w:bottom w:val="single" w:sz="8" w:space="0" w:color="BF8F00"/>
          <w:right w:val="single" w:sz="8" w:space="0" w:color="BF8F00"/>
          <w:insideH w:val="nil"/>
          <w:insideV w:val="nil"/>
        </w:tblBorders>
      </w:tblPr>
      <w:tblGrid>
        <w:gridCol w:w="9936"/>
      </w:tblGrid>
      <w:tr>
        <w:tc>
          <w:tcPr>
            <w:tcW w:type="dxa" w:w="9936"/>
            <w:tcW w:w="9936" w:type="dxa"/>
            <w:shd w:val="clear" w:color="auto" w:fill="FFF2CB"/>
            <w:tcMar>
              <w:top w:w="90" w:type="dxa"/>
              <w:left w:w="110" w:type="dxa"/>
              <w:bottom w:w="90" w:type="dxa"/>
              <w:right w:w="110" w:type="dxa"/>
            </w:tcMar>
          </w:tcPr>
          <w:p>
            <w:pPr>
              <w:spacing w:before="0" w:after="60"/>
            </w:pPr>
            <w:r>
              <w:rPr>
                <w:b/>
                <w:color w:val="BF8F00"/>
                <w:sz w:val="17"/>
              </w:rPr>
              <w:t>NOTA DE APOIO — ATAS DE REGISTRO DE PREÇOS (ARP) · DJUD/SE/MS</w:t>
            </w:r>
          </w:p>
          <w:p>
            <w:pPr>
              <w:spacing w:before="0" w:after="0"/>
              <w:jc w:val="both"/>
            </w:pPr>
            <w:r>
              <w:rPr>
                <w:color w:val="1F3864"/>
                <w:sz w:val="19"/>
              </w:rPr>
              <w:t xml:space="preserve">Planilha oficial do DJUD (Secretaria-Executiva/MS), setor que gerencia as demandas judiciais individuais de aquisição pela União. Lista nº da ARP, princípio ativo, valor unitário, empresa e vigência — fonte primária de preço de referência da União para impacto orçamentário e razoabilidade/economicidade em demandas de alto custo (dialoga com o Tema 1.234/STF). Planilha temporariamente indisponível no portal do DJUD em 07/10/2026. </w:t>
            </w:r>
            <w:hyperlink r:id="rId38">
              <w:r>
                <w:rPr>
                  <w:color w:val="1F4E79"/>
                  <w:u w:val="single"/>
                </w:rPr>
                <w:t xml:space="preserve">Departamento de Gestão das Demandas em Judicialização na Saúde</w:t>
              </w:r>
            </w:hyperlink>
            <w:r>
              <w:rPr>
                <w:color w:val="1F3864"/>
                <w:sz w:val="19"/>
              </w:rPr>
              <w:t>.</w:t>
            </w:r>
          </w:p>
        </w:tc>
      </w:tr>
    </w:tbl>
    <w:p>
      <w:pPr>
        <w:spacing w:before="0" w:after="120"/>
      </w:pPr>
    </w:p>
    <w:tbl>
      <w:tblPr>
        <w:tblW w:type="auto" w:w="0"/>
        <w:jc w:val="center"/>
        <w:tblLook w:firstColumn="1" w:firstRow="1" w:lastColumn="0" w:lastRow="0" w:noHBand="0" w:noVBand="1" w:val="04A0"/>
        <w:tblBorders>
          <w:top w:val="single" w:sz="8" w:space="0" w:color="BF8F00"/>
          <w:left w:val="single" w:sz="18" w:space="0" w:color="BF8F00"/>
          <w:bottom w:val="single" w:sz="8" w:space="0" w:color="BF8F00"/>
          <w:right w:val="single" w:sz="8" w:space="0" w:color="BF8F00"/>
          <w:insideH w:val="nil"/>
          <w:insideV w:val="nil"/>
        </w:tblBorders>
      </w:tblPr>
      <w:tblGrid>
        <w:gridCol w:w="9936"/>
      </w:tblGrid>
      <w:tr>
        <w:tc>
          <w:tcPr>
            <w:tcW w:type="dxa" w:w="9936"/>
            <w:tcW w:w="9936" w:type="dxa"/>
            <w:shd w:val="clear" w:color="auto" w:fill="FFF2CB"/>
            <w:tcMar>
              <w:top w:w="90" w:type="dxa"/>
              <w:left w:w="110" w:type="dxa"/>
              <w:bottom w:w="90" w:type="dxa"/>
              <w:right w:w="110" w:type="dxa"/>
            </w:tcMar>
          </w:tcPr>
          <w:p>
            <w:pPr>
              <w:spacing w:before="0" w:after="60"/>
            </w:pPr>
            <w:r>
              <w:rPr>
                <w:b/>
                <w:color w:val="BF8F00"/>
                <w:sz w:val="17"/>
              </w:rPr>
              <w:t>REGISTRO ADMINISTRATIVO — PORTARIA SAES/MS Nº 4.938/2026 (REPUBLICAÇÃO)</w:t>
            </w:r>
          </w:p>
          <w:p>
            <w:pPr>
              <w:spacing w:before="0" w:after="0"/>
              <w:jc w:val="both"/>
            </w:pPr>
            <w:r>
              <w:rPr>
                <w:color w:val="1F3864"/>
                <w:sz w:val="19"/>
              </w:rPr>
              <w:t xml:space="preserve">Inclusão de procedimentos (OPME) na Tabela SUS; apenas republicada no intervalo (DOU 02/10/2026). O título do CONASS Informa nº 197/2026 cita "SAES 4.936"; o corpo do ato é a Portaria SAES/MS nº 4.938 — número conferido no DOU. </w:t>
            </w:r>
            <w:hyperlink r:id="rId39">
              <w:r>
                <w:rPr>
                  <w:color w:val="1F4E79"/>
                  <w:u w:val="single"/>
                </w:rPr>
                <w:t xml:space="preserve">DOU — Portaria SAES/MS nº 4.938/2026</w:t>
              </w:r>
            </w:hyperlink>
            <w:r>
              <w:rPr>
                <w:color w:val="1F3864"/>
                <w:sz w:val="19"/>
              </w:rPr>
              <w:t>.</w:t>
            </w:r>
          </w:p>
        </w:tc>
      </w:tr>
    </w:tbl>
    <w:p>
      <w:pPr>
        <w:spacing w:before="0" w:after="120"/>
      </w:pPr>
    </w:p>
    <w:p>
      <w:pPr>
        <w:spacing w:before="140" w:after="80"/>
      </w:pPr>
      <w:r>
        <w:rPr>
          <w:b/>
          <w:color w:val="1F3864"/>
          <w:sz w:val="22"/>
        </w:rPr>
        <w:t>4.3 Portarias SCTIE/MS — CONITEC</w:t>
      </w:r>
      <w:r>
        <w:t xml:space="preserve">  </w:t>
      </w:r>
      <w:r>
        <w:rPr>
          <w:b/>
          <w:color w:val="1F4E79"/>
          <w:sz w:val="14"/>
          <w:shd w:val="clear" w:color="auto" w:fill="D9E2F3"/>
        </w:rPr>
        <w:t xml:space="preserve"> SUS </w:t>
      </w:r>
    </w:p>
    <w:p>
      <w:pPr>
        <w:spacing w:before="100" w:after="60"/>
      </w:pPr>
      <w:r>
        <w:rPr>
          <w:b/>
          <w:color w:val="1F4E79"/>
          <w:sz w:val="20"/>
        </w:rPr>
        <w:t>Portarias de incorporação (SCTIE/MS)</w:t>
      </w:r>
    </w:p>
    <w:tbl>
      <w:tblPr>
        <w:tblW w:type="auto" w:w="0"/>
        <w:jc w:val="center"/>
        <w:tblLook w:firstColumn="1" w:firstRow="1" w:lastColumn="0" w:lastRow="0" w:noHBand="0" w:noVBand="1" w:val="04A0"/>
        <w:tblBorders>
          <w:top w:val="single" w:sz="4" w:space="0" w:color="D7DDE8"/>
          <w:left w:val="single" w:sz="4" w:space="0" w:color="D7DDE8"/>
          <w:bottom w:val="single" w:sz="4" w:space="0" w:color="D7DDE8"/>
          <w:right w:val="single" w:sz="4" w:space="0" w:color="D7DDE8"/>
          <w:insideH w:val="single" w:sz="4" w:space="0" w:color="D7DDE8"/>
          <w:insideV w:val="single" w:sz="4" w:space="0" w:color="D7DDE8"/>
        </w:tblBorders>
      </w:tblPr>
      <w:tblGrid>
        <w:gridCol w:w="1987"/>
        <w:gridCol w:w="1987"/>
        <w:gridCol w:w="1987"/>
        <w:gridCol w:w="1987"/>
        <w:gridCol w:w="1987"/>
      </w:tblGrid>
      <w:tr>
        <w:tc>
          <w:tcPr>
            <w:tcW w:type="dxa" w:w="1987"/>
            <w:shd w:val="clear" w:color="auto" w:fill="1F3864"/>
            <w:tcMar>
              <w:top w:w="50" w:type="dxa"/>
              <w:left w:w="80" w:type="dxa"/>
              <w:bottom w:w="50" w:type="dxa"/>
              <w:right w:w="80" w:type="dxa"/>
            </w:tcMar>
            <w:vAlign w:val="center"/>
          </w:tcPr>
          <w:p>
            <w:pPr>
              <w:spacing w:before="0" w:after="0"/>
            </w:pPr>
            <w:r>
              <w:rPr>
                <w:b/>
                <w:color w:val="FFFFFF"/>
                <w:sz w:val="17"/>
              </w:rPr>
              <w:t>Ato / DOU</w:t>
            </w:r>
          </w:p>
        </w:tc>
        <w:tc>
          <w:tcPr>
            <w:tcW w:type="dxa" w:w="1987"/>
            <w:shd w:val="clear" w:color="auto" w:fill="1F3864"/>
            <w:tcMar>
              <w:top w:w="50" w:type="dxa"/>
              <w:left w:w="80" w:type="dxa"/>
              <w:bottom w:w="50" w:type="dxa"/>
              <w:right w:w="80" w:type="dxa"/>
            </w:tcMar>
            <w:vAlign w:val="center"/>
          </w:tcPr>
          <w:p>
            <w:pPr>
              <w:spacing w:before="0" w:after="0"/>
            </w:pPr>
            <w:r>
              <w:rPr>
                <w:b/>
                <w:color w:val="FFFFFF"/>
                <w:sz w:val="17"/>
              </w:rPr>
              <w:t>Tecnologia</w:t>
            </w:r>
          </w:p>
        </w:tc>
        <w:tc>
          <w:tcPr>
            <w:tcW w:type="dxa" w:w="1987"/>
            <w:shd w:val="clear" w:color="auto" w:fill="1F3864"/>
            <w:tcMar>
              <w:top w:w="50" w:type="dxa"/>
              <w:left w:w="80" w:type="dxa"/>
              <w:bottom w:w="50" w:type="dxa"/>
              <w:right w:w="80" w:type="dxa"/>
            </w:tcMar>
            <w:vAlign w:val="center"/>
          </w:tcPr>
          <w:p>
            <w:pPr>
              <w:spacing w:before="0" w:after="0"/>
            </w:pPr>
            <w:r>
              <w:rPr>
                <w:b/>
                <w:color w:val="FFFFFF"/>
                <w:sz w:val="17"/>
              </w:rPr>
              <w:t>Indicação</w:t>
            </w:r>
          </w:p>
        </w:tc>
        <w:tc>
          <w:tcPr>
            <w:tcW w:type="dxa" w:w="1987"/>
            <w:shd w:val="clear" w:color="auto" w:fill="1F3864"/>
            <w:tcMar>
              <w:top w:w="50" w:type="dxa"/>
              <w:left w:w="80" w:type="dxa"/>
              <w:bottom w:w="50" w:type="dxa"/>
              <w:right w:w="80" w:type="dxa"/>
            </w:tcMar>
            <w:vAlign w:val="center"/>
          </w:tcPr>
          <w:p>
            <w:pPr>
              <w:spacing w:before="0" w:after="0"/>
            </w:pPr>
            <w:r>
              <w:rPr>
                <w:b/>
                <w:color w:val="FFFFFF"/>
                <w:sz w:val="17"/>
              </w:rPr>
              <w:t>Decisão</w:t>
            </w:r>
          </w:p>
        </w:tc>
        <w:tc>
          <w:tcPr>
            <w:tcW w:type="dxa" w:w="1987"/>
            <w:shd w:val="clear" w:color="auto" w:fill="1F3864"/>
            <w:tcMar>
              <w:top w:w="50" w:type="dxa"/>
              <w:left w:w="80" w:type="dxa"/>
              <w:bottom w:w="50" w:type="dxa"/>
              <w:right w:w="80" w:type="dxa"/>
            </w:tcMar>
            <w:vAlign w:val="center"/>
          </w:tcPr>
          <w:p>
            <w:pPr>
              <w:spacing w:before="0" w:after="0"/>
            </w:pPr>
            <w:r>
              <w:rPr>
                <w:b/>
                <w:color w:val="FFFFFF"/>
                <w:sz w:val="17"/>
              </w:rPr>
              <w:t>Relatório</w:t>
            </w:r>
          </w:p>
        </w:tc>
      </w:tr>
      <w:tr>
        <w:tc>
          <w:tcPr>
            <w:tcW w:type="dxa" w:w="1987"/>
            <w:shd w:val="clear" w:color="auto" w:fill="FFFFFF"/>
            <w:tcMar>
              <w:top w:w="40" w:type="dxa"/>
              <w:left w:w="80" w:type="dxa"/>
              <w:bottom w:w="40" w:type="dxa"/>
              <w:right w:w="80" w:type="dxa"/>
            </w:tcMar>
            <w:vAlign w:val="top"/>
          </w:tcPr>
          <w:p>
            <w:pPr>
              <w:spacing w:before="0" w:after="0"/>
            </w:pPr>
            <w:hyperlink r:id="rId40">
              <w:r>
                <w:rPr>
                  <w:color w:val="1F4E79"/>
                  <w:u w:val="single"/>
                </w:rPr>
                <w:t xml:space="preserve">SCTIE/MS nº 56</w:t>
              </w:r>
            </w:hyperlink>
            <w:r>
              <w:br/>
            </w:r>
            <w:r>
              <w:rPr>
                <w:sz w:val="17"/>
              </w:rPr>
              <w:t>14/09 (DOU 17/09)</w:t>
            </w:r>
          </w:p>
        </w:tc>
        <w:tc>
          <w:tcPr>
            <w:tcW w:type="dxa" w:w="1987"/>
            <w:shd w:val="clear" w:color="auto" w:fill="FFFFFF"/>
            <w:tcMar>
              <w:top w:w="40" w:type="dxa"/>
              <w:left w:w="80" w:type="dxa"/>
              <w:bottom w:w="40" w:type="dxa"/>
              <w:right w:w="80" w:type="dxa"/>
            </w:tcMar>
            <w:vAlign w:val="top"/>
          </w:tcPr>
          <w:p>
            <w:pPr>
              <w:spacing w:before="0" w:after="0"/>
            </w:pPr>
            <w:r>
              <w:rPr>
                <w:sz w:val="17"/>
              </w:rPr>
              <w:t>Carbonato de lítio de liberação prolongada 450 mg</w:t>
            </w:r>
          </w:p>
        </w:tc>
        <w:tc>
          <w:tcPr>
            <w:tcW w:type="dxa" w:w="1987"/>
            <w:shd w:val="clear" w:color="auto" w:fill="FFFFFF"/>
            <w:tcMar>
              <w:top w:w="40" w:type="dxa"/>
              <w:left w:w="80" w:type="dxa"/>
              <w:bottom w:w="40" w:type="dxa"/>
              <w:right w:w="80" w:type="dxa"/>
            </w:tcMar>
            <w:vAlign w:val="top"/>
          </w:tcPr>
          <w:p>
            <w:pPr>
              <w:spacing w:before="0" w:after="0"/>
            </w:pPr>
            <w:r>
              <w:rPr>
                <w:sz w:val="17"/>
              </w:rPr>
              <w:t>Transtorno bipolar</w:t>
            </w:r>
          </w:p>
        </w:tc>
        <w:tc>
          <w:tcPr>
            <w:tcW w:type="dxa" w:w="1987"/>
            <w:shd w:val="clear" w:color="auto" w:fill="FFFFFF"/>
            <w:tcMar>
              <w:top w:w="40" w:type="dxa"/>
              <w:left w:w="80" w:type="dxa"/>
              <w:bottom w:w="40" w:type="dxa"/>
              <w:right w:w="80" w:type="dxa"/>
            </w:tcMar>
            <w:vAlign w:val="top"/>
          </w:tcPr>
          <w:p>
            <w:pPr>
              <w:spacing w:before="0" w:after="0"/>
            </w:pPr>
            <w:r>
              <w:rPr>
                <w:b/>
                <w:color w:val="2E7D32"/>
                <w:sz w:val="17"/>
              </w:rPr>
              <w:t>INCORPORA</w:t>
            </w:r>
          </w:p>
        </w:tc>
        <w:tc>
          <w:tcPr>
            <w:tcW w:type="dxa" w:w="1987"/>
            <w:shd w:val="clear" w:color="auto" w:fill="FFFFFF"/>
            <w:tcMar>
              <w:top w:w="40" w:type="dxa"/>
              <w:left w:w="80" w:type="dxa"/>
              <w:bottom w:w="40" w:type="dxa"/>
              <w:right w:w="80" w:type="dxa"/>
            </w:tcMar>
            <w:vAlign w:val="top"/>
          </w:tcPr>
          <w:p>
            <w:pPr>
              <w:spacing w:before="0" w:after="0"/>
            </w:pPr>
            <w:hyperlink r:id="rId41">
              <w:r>
                <w:rPr>
                  <w:color w:val="1F4E79"/>
                  <w:u w:val="single"/>
                </w:rPr>
                <w:t xml:space="preserve">RR 1.128</w:t>
              </w:r>
            </w:hyperlink>
          </w:p>
        </w:tc>
      </w:tr>
      <w:tr>
        <w:tc>
          <w:tcPr>
            <w:tcW w:type="dxa" w:w="1987"/>
            <w:shd w:val="clear" w:color="auto" w:fill="F6F9FD"/>
            <w:tcMar>
              <w:top w:w="40" w:type="dxa"/>
              <w:left w:w="80" w:type="dxa"/>
              <w:bottom w:w="40" w:type="dxa"/>
              <w:right w:w="80" w:type="dxa"/>
            </w:tcMar>
            <w:vAlign w:val="top"/>
          </w:tcPr>
          <w:p>
            <w:pPr>
              <w:spacing w:before="0" w:after="0"/>
            </w:pPr>
            <w:hyperlink r:id="rId42">
              <w:r>
                <w:rPr>
                  <w:color w:val="1F4E79"/>
                  <w:u w:val="single"/>
                </w:rPr>
                <w:t xml:space="preserve">SCTIE/MS nº 57</w:t>
              </w:r>
            </w:hyperlink>
            <w:r>
              <w:br/>
            </w:r>
            <w:r>
              <w:rPr>
                <w:sz w:val="17"/>
              </w:rPr>
              <w:t>14/09 (DOU 17/09)</w:t>
            </w:r>
          </w:p>
        </w:tc>
        <w:tc>
          <w:tcPr>
            <w:tcW w:type="dxa" w:w="1987"/>
            <w:shd w:val="clear" w:color="auto" w:fill="F6F9FD"/>
            <w:tcMar>
              <w:top w:w="40" w:type="dxa"/>
              <w:left w:w="80" w:type="dxa"/>
              <w:bottom w:w="40" w:type="dxa"/>
              <w:right w:w="80" w:type="dxa"/>
            </w:tcMar>
            <w:vAlign w:val="top"/>
          </w:tcPr>
          <w:p>
            <w:pPr>
              <w:spacing w:before="0" w:after="0"/>
            </w:pPr>
            <w:r>
              <w:rPr>
                <w:sz w:val="17"/>
              </w:rPr>
              <w:t>Cirurgia antiglaucomatosa por via angular durante facectomia com LIO</w:t>
            </w:r>
          </w:p>
        </w:tc>
        <w:tc>
          <w:tcPr>
            <w:tcW w:type="dxa" w:w="1987"/>
            <w:shd w:val="clear" w:color="auto" w:fill="F6F9FD"/>
            <w:tcMar>
              <w:top w:w="40" w:type="dxa"/>
              <w:left w:w="80" w:type="dxa"/>
              <w:bottom w:w="40" w:type="dxa"/>
              <w:right w:w="80" w:type="dxa"/>
            </w:tcMar>
            <w:vAlign w:val="top"/>
          </w:tcPr>
          <w:p>
            <w:pPr>
              <w:spacing w:before="0" w:after="0"/>
            </w:pPr>
            <w:r>
              <w:rPr>
                <w:sz w:val="17"/>
              </w:rPr>
              <w:t>Catarata e glaucoma primário de ângulo aberto com dano inicial/moderado</w:t>
            </w:r>
          </w:p>
        </w:tc>
        <w:tc>
          <w:tcPr>
            <w:tcW w:type="dxa" w:w="1987"/>
            <w:shd w:val="clear" w:color="auto" w:fill="F6F9FD"/>
            <w:tcMar>
              <w:top w:w="40" w:type="dxa"/>
              <w:left w:w="80" w:type="dxa"/>
              <w:bottom w:w="40" w:type="dxa"/>
              <w:right w:w="80" w:type="dxa"/>
            </w:tcMar>
            <w:vAlign w:val="top"/>
          </w:tcPr>
          <w:p>
            <w:pPr>
              <w:spacing w:before="0" w:after="0"/>
            </w:pPr>
            <w:r>
              <w:rPr>
                <w:b/>
                <w:color w:val="2E7D32"/>
                <w:sz w:val="17"/>
              </w:rPr>
              <w:t>INCORPORA</w:t>
            </w:r>
          </w:p>
        </w:tc>
        <w:tc>
          <w:tcPr>
            <w:tcW w:type="dxa" w:w="1987"/>
            <w:shd w:val="clear" w:color="auto" w:fill="F6F9FD"/>
            <w:tcMar>
              <w:top w:w="40" w:type="dxa"/>
              <w:left w:w="80" w:type="dxa"/>
              <w:bottom w:w="40" w:type="dxa"/>
              <w:right w:w="80" w:type="dxa"/>
            </w:tcMar>
            <w:vAlign w:val="top"/>
          </w:tcPr>
          <w:p>
            <w:pPr>
              <w:spacing w:before="0" w:after="0"/>
            </w:pPr>
            <w:hyperlink r:id="rId43">
              <w:r>
                <w:rPr>
                  <w:color w:val="1F4E79"/>
                  <w:u w:val="single"/>
                </w:rPr>
                <w:t xml:space="preserve">RR 1.138</w:t>
              </w:r>
            </w:hyperlink>
          </w:p>
        </w:tc>
      </w:tr>
      <w:tr>
        <w:tc>
          <w:tcPr>
            <w:tcW w:type="dxa" w:w="1987"/>
            <w:shd w:val="clear" w:color="auto" w:fill="FFFFFF"/>
            <w:tcMar>
              <w:top w:w="40" w:type="dxa"/>
              <w:left w:w="80" w:type="dxa"/>
              <w:bottom w:w="40" w:type="dxa"/>
              <w:right w:w="80" w:type="dxa"/>
            </w:tcMar>
            <w:vAlign w:val="top"/>
          </w:tcPr>
          <w:p>
            <w:pPr>
              <w:spacing w:before="0" w:after="0"/>
            </w:pPr>
            <w:hyperlink r:id="rId44">
              <w:r>
                <w:rPr>
                  <w:color w:val="1F4E79"/>
                  <w:u w:val="single"/>
                </w:rPr>
                <w:t xml:space="preserve">SCTIE/MS nº 58</w:t>
              </w:r>
            </w:hyperlink>
            <w:r>
              <w:br/>
            </w:r>
            <w:r>
              <w:rPr>
                <w:sz w:val="17"/>
              </w:rPr>
              <w:t>28/09 (DOU 29/09)</w:t>
            </w:r>
          </w:p>
        </w:tc>
        <w:tc>
          <w:tcPr>
            <w:tcW w:type="dxa" w:w="1987"/>
            <w:shd w:val="clear" w:color="auto" w:fill="FFFFFF"/>
            <w:tcMar>
              <w:top w:w="40" w:type="dxa"/>
              <w:left w:w="80" w:type="dxa"/>
              <w:bottom w:w="40" w:type="dxa"/>
              <w:right w:w="80" w:type="dxa"/>
            </w:tcMar>
            <w:vAlign w:val="top"/>
          </w:tcPr>
          <w:p>
            <w:pPr>
              <w:spacing w:before="0" w:after="0"/>
            </w:pPr>
            <w:r>
              <w:rPr>
                <w:sz w:val="17"/>
              </w:rPr>
              <w:t>Rituximabe</w:t>
            </w:r>
          </w:p>
        </w:tc>
        <w:tc>
          <w:tcPr>
            <w:tcW w:type="dxa" w:w="1987"/>
            <w:shd w:val="clear" w:color="auto" w:fill="FFFFFF"/>
            <w:tcMar>
              <w:top w:w="40" w:type="dxa"/>
              <w:left w:w="80" w:type="dxa"/>
              <w:bottom w:w="40" w:type="dxa"/>
              <w:right w:w="80" w:type="dxa"/>
            </w:tcMar>
            <w:vAlign w:val="top"/>
          </w:tcPr>
          <w:p>
            <w:pPr>
              <w:spacing w:before="0" w:after="0"/>
            </w:pPr>
            <w:r>
              <w:rPr>
                <w:sz w:val="17"/>
              </w:rPr>
              <w:t>Adultos com pênfigo vulgar moderado a grave</w:t>
            </w:r>
          </w:p>
        </w:tc>
        <w:tc>
          <w:tcPr>
            <w:tcW w:type="dxa" w:w="1987"/>
            <w:shd w:val="clear" w:color="auto" w:fill="FFFFFF"/>
            <w:tcMar>
              <w:top w:w="40" w:type="dxa"/>
              <w:left w:w="80" w:type="dxa"/>
              <w:bottom w:w="40" w:type="dxa"/>
              <w:right w:w="80" w:type="dxa"/>
            </w:tcMar>
            <w:vAlign w:val="top"/>
          </w:tcPr>
          <w:p>
            <w:pPr>
              <w:spacing w:before="0" w:after="0"/>
            </w:pPr>
            <w:r>
              <w:rPr>
                <w:b/>
                <w:color w:val="2E7D32"/>
                <w:sz w:val="17"/>
              </w:rPr>
              <w:t>INCORPORA</w:t>
            </w:r>
          </w:p>
        </w:tc>
        <w:tc>
          <w:tcPr>
            <w:tcW w:type="dxa" w:w="1987"/>
            <w:shd w:val="clear" w:color="auto" w:fill="FFFFFF"/>
            <w:tcMar>
              <w:top w:w="40" w:type="dxa"/>
              <w:left w:w="80" w:type="dxa"/>
              <w:bottom w:w="40" w:type="dxa"/>
              <w:right w:w="80" w:type="dxa"/>
            </w:tcMar>
            <w:vAlign w:val="top"/>
          </w:tcPr>
          <w:p>
            <w:pPr>
              <w:spacing w:before="0" w:after="0"/>
            </w:pPr>
            <w:hyperlink r:id="rId45">
              <w:r>
                <w:rPr>
                  <w:color w:val="1F4E79"/>
                  <w:u w:val="single"/>
                </w:rPr>
                <w:t xml:space="preserve">RR 1.127</w:t>
              </w:r>
            </w:hyperlink>
          </w:p>
        </w:tc>
      </w:tr>
      <w:tr>
        <w:tc>
          <w:tcPr>
            <w:tcW w:type="dxa" w:w="1987"/>
            <w:shd w:val="clear" w:color="auto" w:fill="F6F9FD"/>
            <w:tcMar>
              <w:top w:w="40" w:type="dxa"/>
              <w:left w:w="80" w:type="dxa"/>
              <w:bottom w:w="40" w:type="dxa"/>
              <w:right w:w="80" w:type="dxa"/>
            </w:tcMar>
            <w:vAlign w:val="top"/>
          </w:tcPr>
          <w:p>
            <w:pPr>
              <w:spacing w:before="0" w:after="0"/>
            </w:pPr>
            <w:hyperlink r:id="rId46">
              <w:r>
                <w:rPr>
                  <w:color w:val="1F4E79"/>
                  <w:u w:val="single"/>
                </w:rPr>
                <w:t xml:space="preserve">SCTIE/MS nº 60</w:t>
              </w:r>
            </w:hyperlink>
            <w:r>
              <w:br/>
            </w:r>
            <w:r>
              <w:rPr>
                <w:sz w:val="17"/>
              </w:rPr>
              <w:t>28/09 (DOU 29/09)</w:t>
            </w:r>
          </w:p>
        </w:tc>
        <w:tc>
          <w:tcPr>
            <w:tcW w:type="dxa" w:w="1987"/>
            <w:shd w:val="clear" w:color="auto" w:fill="F6F9FD"/>
            <w:tcMar>
              <w:top w:w="40" w:type="dxa"/>
              <w:left w:w="80" w:type="dxa"/>
              <w:bottom w:w="40" w:type="dxa"/>
              <w:right w:w="80" w:type="dxa"/>
            </w:tcMar>
            <w:vAlign w:val="top"/>
          </w:tcPr>
          <w:p>
            <w:pPr>
              <w:spacing w:before="0" w:after="0"/>
            </w:pPr>
            <w:r>
              <w:rPr>
                <w:sz w:val="17"/>
              </w:rPr>
              <w:t>Tomografia de coerência óptica (OCT)</w:t>
            </w:r>
          </w:p>
        </w:tc>
        <w:tc>
          <w:tcPr>
            <w:tcW w:type="dxa" w:w="1987"/>
            <w:shd w:val="clear" w:color="auto" w:fill="F6F9FD"/>
            <w:tcMar>
              <w:top w:w="40" w:type="dxa"/>
              <w:left w:w="80" w:type="dxa"/>
              <w:bottom w:w="40" w:type="dxa"/>
              <w:right w:w="80" w:type="dxa"/>
            </w:tcMar>
            <w:vAlign w:val="top"/>
          </w:tcPr>
          <w:p>
            <w:pPr>
              <w:spacing w:before="0" w:after="0"/>
            </w:pPr>
            <w:r>
              <w:rPr>
                <w:sz w:val="17"/>
              </w:rPr>
              <w:t>Diagnóstico de glaucoma primário de ângulo fechado</w:t>
            </w:r>
          </w:p>
        </w:tc>
        <w:tc>
          <w:tcPr>
            <w:tcW w:type="dxa" w:w="1987"/>
            <w:shd w:val="clear" w:color="auto" w:fill="F6F9FD"/>
            <w:tcMar>
              <w:top w:w="40" w:type="dxa"/>
              <w:left w:w="80" w:type="dxa"/>
              <w:bottom w:w="40" w:type="dxa"/>
              <w:right w:w="80" w:type="dxa"/>
            </w:tcMar>
            <w:vAlign w:val="top"/>
          </w:tcPr>
          <w:p>
            <w:pPr>
              <w:spacing w:before="0" w:after="0"/>
            </w:pPr>
            <w:r>
              <w:rPr>
                <w:b/>
                <w:color w:val="2E7D32"/>
                <w:sz w:val="17"/>
              </w:rPr>
              <w:t>INCORPORA</w:t>
            </w:r>
          </w:p>
        </w:tc>
        <w:tc>
          <w:tcPr>
            <w:tcW w:type="dxa" w:w="1987"/>
            <w:shd w:val="clear" w:color="auto" w:fill="F6F9FD"/>
            <w:tcMar>
              <w:top w:w="40" w:type="dxa"/>
              <w:left w:w="80" w:type="dxa"/>
              <w:bottom w:w="40" w:type="dxa"/>
              <w:right w:w="80" w:type="dxa"/>
            </w:tcMar>
            <w:vAlign w:val="top"/>
          </w:tcPr>
          <w:p>
            <w:pPr>
              <w:spacing w:before="0" w:after="0"/>
            </w:pPr>
            <w:hyperlink r:id="rId47">
              <w:r>
                <w:rPr>
                  <w:color w:val="1F4E79"/>
                  <w:u w:val="single"/>
                </w:rPr>
                <w:t xml:space="preserve">RR 1.136</w:t>
              </w:r>
            </w:hyperlink>
          </w:p>
        </w:tc>
      </w:tr>
      <w:tr>
        <w:tc>
          <w:tcPr>
            <w:tcW w:type="dxa" w:w="1987"/>
            <w:shd w:val="clear" w:color="auto" w:fill="FFFFFF"/>
            <w:tcMar>
              <w:top w:w="40" w:type="dxa"/>
              <w:left w:w="80" w:type="dxa"/>
              <w:bottom w:w="40" w:type="dxa"/>
              <w:right w:w="80" w:type="dxa"/>
            </w:tcMar>
            <w:vAlign w:val="top"/>
          </w:tcPr>
          <w:p>
            <w:pPr>
              <w:spacing w:before="0" w:after="0"/>
            </w:pPr>
            <w:hyperlink r:id="rId48">
              <w:r>
                <w:rPr>
                  <w:color w:val="1F4E79"/>
                  <w:u w:val="single"/>
                </w:rPr>
                <w:t xml:space="preserve">SCTIE/MS nº 59</w:t>
              </w:r>
            </w:hyperlink>
            <w:r>
              <w:br/>
            </w:r>
            <w:r>
              <w:rPr>
                <w:sz w:val="17"/>
              </w:rPr>
              <w:t>28/09 (DOU 29/09)</w:t>
            </w:r>
          </w:p>
        </w:tc>
        <w:tc>
          <w:tcPr>
            <w:tcW w:type="dxa" w:w="1987"/>
            <w:shd w:val="clear" w:color="auto" w:fill="FFFFFF"/>
            <w:tcMar>
              <w:top w:w="40" w:type="dxa"/>
              <w:left w:w="80" w:type="dxa"/>
              <w:bottom w:w="40" w:type="dxa"/>
              <w:right w:w="80" w:type="dxa"/>
            </w:tcMar>
            <w:vAlign w:val="top"/>
          </w:tcPr>
          <w:p>
            <w:pPr>
              <w:spacing w:before="0" w:after="0"/>
            </w:pPr>
            <w:r>
              <w:rPr>
                <w:sz w:val="17"/>
              </w:rPr>
              <w:t>Sensor pré-calibrado para monitorização hemodinâmica minimamente invasiva</w:t>
            </w:r>
          </w:p>
        </w:tc>
        <w:tc>
          <w:tcPr>
            <w:tcW w:type="dxa" w:w="1987"/>
            <w:shd w:val="clear" w:color="auto" w:fill="FFFFFF"/>
            <w:tcMar>
              <w:top w:w="40" w:type="dxa"/>
              <w:left w:w="80" w:type="dxa"/>
              <w:bottom w:w="40" w:type="dxa"/>
              <w:right w:w="80" w:type="dxa"/>
            </w:tcMar>
            <w:vAlign w:val="top"/>
          </w:tcPr>
          <w:p>
            <w:pPr>
              <w:spacing w:before="0" w:after="0"/>
            </w:pPr>
            <w:r>
              <w:rPr>
                <w:sz w:val="17"/>
              </w:rPr>
              <w:t>Cirurgias de grande porte não cardíacas e de alto risco</w:t>
            </w:r>
          </w:p>
        </w:tc>
        <w:tc>
          <w:tcPr>
            <w:tcW w:type="dxa" w:w="1987"/>
            <w:shd w:val="clear" w:color="auto" w:fill="FFFFFF"/>
            <w:tcMar>
              <w:top w:w="40" w:type="dxa"/>
              <w:left w:w="80" w:type="dxa"/>
              <w:bottom w:w="40" w:type="dxa"/>
              <w:right w:w="80" w:type="dxa"/>
            </w:tcMar>
            <w:vAlign w:val="top"/>
          </w:tcPr>
          <w:p>
            <w:pPr>
              <w:spacing w:before="0" w:after="0"/>
            </w:pPr>
            <w:r>
              <w:rPr>
                <w:b/>
                <w:color w:val="C00000"/>
                <w:sz w:val="17"/>
              </w:rPr>
              <w:t>NÃO INCORPORA</w:t>
            </w:r>
          </w:p>
        </w:tc>
        <w:tc>
          <w:tcPr>
            <w:tcW w:type="dxa" w:w="1987"/>
            <w:shd w:val="clear" w:color="auto" w:fill="FFFFFF"/>
            <w:tcMar>
              <w:top w:w="40" w:type="dxa"/>
              <w:left w:w="80" w:type="dxa"/>
              <w:bottom w:w="40" w:type="dxa"/>
              <w:right w:w="80" w:type="dxa"/>
            </w:tcMar>
            <w:vAlign w:val="top"/>
          </w:tcPr>
          <w:p>
            <w:pPr>
              <w:spacing w:before="0" w:after="0"/>
            </w:pPr>
            <w:hyperlink r:id="rId49">
              <w:r>
                <w:rPr>
                  <w:color w:val="1F4E79"/>
                  <w:u w:val="single"/>
                </w:rPr>
                <w:t xml:space="preserve">RR 1.135</w:t>
              </w:r>
            </w:hyperlink>
          </w:p>
        </w:tc>
      </w:tr>
      <w:tr>
        <w:tc>
          <w:tcPr>
            <w:tcW w:type="dxa" w:w="1987"/>
            <w:shd w:val="clear" w:color="auto" w:fill="F6F9FD"/>
            <w:tcMar>
              <w:top w:w="40" w:type="dxa"/>
              <w:left w:w="80" w:type="dxa"/>
              <w:bottom w:w="40" w:type="dxa"/>
              <w:right w:w="80" w:type="dxa"/>
            </w:tcMar>
            <w:vAlign w:val="top"/>
          </w:tcPr>
          <w:p>
            <w:pPr>
              <w:spacing w:before="0" w:after="0"/>
            </w:pPr>
            <w:hyperlink r:id="rId50">
              <w:r>
                <w:rPr>
                  <w:color w:val="1F4E79"/>
                  <w:u w:val="single"/>
                </w:rPr>
                <w:t xml:space="preserve">SCTIE/MS nº 61</w:t>
              </w:r>
            </w:hyperlink>
            <w:r>
              <w:br/>
            </w:r>
            <w:r>
              <w:rPr>
                <w:sz w:val="17"/>
              </w:rPr>
              <w:t>28/09 (DOU 29/09)</w:t>
            </w:r>
          </w:p>
        </w:tc>
        <w:tc>
          <w:tcPr>
            <w:tcW w:type="dxa" w:w="1987"/>
            <w:shd w:val="clear" w:color="auto" w:fill="F6F9FD"/>
            <w:tcMar>
              <w:top w:w="40" w:type="dxa"/>
              <w:left w:w="80" w:type="dxa"/>
              <w:bottom w:w="40" w:type="dxa"/>
              <w:right w:w="80" w:type="dxa"/>
            </w:tcMar>
            <w:vAlign w:val="top"/>
          </w:tcPr>
          <w:p>
            <w:pPr>
              <w:spacing w:before="0" w:after="0"/>
            </w:pPr>
            <w:r>
              <w:rPr>
                <w:sz w:val="17"/>
              </w:rPr>
              <w:t>Tomografia de coerência óptica (OCT)</w:t>
            </w:r>
          </w:p>
        </w:tc>
        <w:tc>
          <w:tcPr>
            <w:tcW w:type="dxa" w:w="1987"/>
            <w:shd w:val="clear" w:color="auto" w:fill="F6F9FD"/>
            <w:tcMar>
              <w:top w:w="40" w:type="dxa"/>
              <w:left w:w="80" w:type="dxa"/>
              <w:bottom w:w="40" w:type="dxa"/>
              <w:right w:w="80" w:type="dxa"/>
            </w:tcMar>
            <w:vAlign w:val="top"/>
          </w:tcPr>
          <w:p>
            <w:pPr>
              <w:spacing w:before="0" w:after="0"/>
            </w:pPr>
            <w:r>
              <w:rPr>
                <w:sz w:val="17"/>
              </w:rPr>
              <w:t>Monitoramento de glaucoma primário de ângulo aberto e fechado</w:t>
            </w:r>
          </w:p>
        </w:tc>
        <w:tc>
          <w:tcPr>
            <w:tcW w:type="dxa" w:w="1987"/>
            <w:shd w:val="clear" w:color="auto" w:fill="F6F9FD"/>
            <w:tcMar>
              <w:top w:w="40" w:type="dxa"/>
              <w:left w:w="80" w:type="dxa"/>
              <w:bottom w:w="40" w:type="dxa"/>
              <w:right w:w="80" w:type="dxa"/>
            </w:tcMar>
            <w:vAlign w:val="top"/>
          </w:tcPr>
          <w:p>
            <w:pPr>
              <w:spacing w:before="0" w:after="0"/>
            </w:pPr>
            <w:r>
              <w:rPr>
                <w:b/>
                <w:color w:val="C00000"/>
                <w:sz w:val="17"/>
              </w:rPr>
              <w:t>NÃO INCORPORA</w:t>
            </w:r>
          </w:p>
        </w:tc>
        <w:tc>
          <w:tcPr>
            <w:tcW w:type="dxa" w:w="1987"/>
            <w:shd w:val="clear" w:color="auto" w:fill="F6F9FD"/>
            <w:tcMar>
              <w:top w:w="40" w:type="dxa"/>
              <w:left w:w="80" w:type="dxa"/>
              <w:bottom w:w="40" w:type="dxa"/>
              <w:right w:w="80" w:type="dxa"/>
            </w:tcMar>
            <w:vAlign w:val="top"/>
          </w:tcPr>
          <w:p>
            <w:pPr>
              <w:spacing w:before="0" w:after="0"/>
            </w:pPr>
            <w:hyperlink r:id="rId51">
              <w:r>
                <w:rPr>
                  <w:color w:val="1F4E79"/>
                  <w:u w:val="single"/>
                </w:rPr>
                <w:t xml:space="preserve">RR 1.137</w:t>
              </w:r>
            </w:hyperlink>
          </w:p>
        </w:tc>
      </w:tr>
      <w:tr>
        <w:tc>
          <w:tcPr>
            <w:tcW w:type="dxa" w:w="1987"/>
            <w:shd w:val="clear" w:color="auto" w:fill="FFFFFF"/>
            <w:tcMar>
              <w:top w:w="40" w:type="dxa"/>
              <w:left w:w="80" w:type="dxa"/>
              <w:bottom w:w="40" w:type="dxa"/>
              <w:right w:w="80" w:type="dxa"/>
            </w:tcMar>
            <w:vAlign w:val="top"/>
          </w:tcPr>
          <w:p>
            <w:pPr>
              <w:spacing w:before="0" w:after="0"/>
            </w:pPr>
            <w:hyperlink r:id="rId44">
              <w:r>
                <w:rPr>
                  <w:color w:val="1F4E79"/>
                  <w:u w:val="single"/>
                </w:rPr>
                <w:t xml:space="preserve">Despacho GM/MS nº 88</w:t>
              </w:r>
            </w:hyperlink>
            <w:r>
              <w:br/>
            </w:r>
            <w:r>
              <w:rPr>
                <w:sz w:val="17"/>
              </w:rPr>
              <w:t>28/09 (DOU 29/09)</w:t>
            </w:r>
          </w:p>
        </w:tc>
        <w:tc>
          <w:tcPr>
            <w:tcW w:type="dxa" w:w="1987"/>
            <w:shd w:val="clear" w:color="auto" w:fill="FFFFFF"/>
            <w:tcMar>
              <w:top w:w="40" w:type="dxa"/>
              <w:left w:w="80" w:type="dxa"/>
              <w:bottom w:w="40" w:type="dxa"/>
              <w:right w:w="80" w:type="dxa"/>
            </w:tcMar>
            <w:vAlign w:val="top"/>
          </w:tcPr>
          <w:p>
            <w:pPr>
              <w:spacing w:before="0" w:after="0"/>
            </w:pPr>
            <w:r>
              <w:rPr>
                <w:sz w:val="17"/>
              </w:rPr>
              <w:t>Burosumabe (recurso da Ultragenyx)</w:t>
            </w:r>
          </w:p>
        </w:tc>
        <w:tc>
          <w:tcPr>
            <w:tcW w:type="dxa" w:w="1987"/>
            <w:shd w:val="clear" w:color="auto" w:fill="FFFFFF"/>
            <w:tcMar>
              <w:top w:w="40" w:type="dxa"/>
              <w:left w:w="80" w:type="dxa"/>
              <w:bottom w:w="40" w:type="dxa"/>
              <w:right w:w="80" w:type="dxa"/>
            </w:tcMar>
            <w:vAlign w:val="top"/>
          </w:tcPr>
          <w:p>
            <w:pPr>
              <w:spacing w:before="0" w:after="0"/>
            </w:pPr>
            <w:r>
              <w:rPr>
                <w:sz w:val="17"/>
              </w:rPr>
              <w:t>Adultos com hipofosfatemia ligada ao X</w:t>
            </w:r>
          </w:p>
        </w:tc>
        <w:tc>
          <w:tcPr>
            <w:tcW w:type="dxa" w:w="1987"/>
            <w:shd w:val="clear" w:color="auto" w:fill="FFFFFF"/>
            <w:tcMar>
              <w:top w:w="40" w:type="dxa"/>
              <w:left w:w="80" w:type="dxa"/>
              <w:bottom w:w="40" w:type="dxa"/>
              <w:right w:w="80" w:type="dxa"/>
            </w:tcMar>
            <w:vAlign w:val="top"/>
          </w:tcPr>
          <w:p>
            <w:pPr>
              <w:spacing w:before="0" w:after="0"/>
            </w:pPr>
            <w:r>
              <w:rPr>
                <w:b/>
                <w:color w:val="C00000"/>
                <w:sz w:val="17"/>
              </w:rPr>
              <w:t>MANTIDA NÃO INCORPORAÇÃO</w:t>
            </w:r>
          </w:p>
        </w:tc>
        <w:tc>
          <w:tcPr>
            <w:tcW w:type="dxa" w:w="1987"/>
            <w:shd w:val="clear" w:color="auto" w:fill="FFFFFF"/>
            <w:tcMar>
              <w:top w:w="40" w:type="dxa"/>
              <w:left w:w="80" w:type="dxa"/>
              <w:bottom w:w="40" w:type="dxa"/>
              <w:right w:w="80" w:type="dxa"/>
            </w:tcMar>
            <w:vAlign w:val="top"/>
          </w:tcPr>
          <w:p>
            <w:pPr>
              <w:spacing w:before="0" w:after="0"/>
            </w:pPr>
            <w:r>
              <w:rPr>
                <w:sz w:val="17"/>
              </w:rPr>
              <w:t>DOU 29/09 · NT 435/2025</w:t>
            </w:r>
          </w:p>
        </w:tc>
      </w:tr>
      <w:tr>
        <w:tc>
          <w:tcPr>
            <w:tcW w:type="dxa" w:w="1987"/>
            <w:shd w:val="clear" w:color="auto" w:fill="F6F9FD"/>
            <w:tcMar>
              <w:top w:w="40" w:type="dxa"/>
              <w:left w:w="80" w:type="dxa"/>
              <w:bottom w:w="40" w:type="dxa"/>
              <w:right w:w="80" w:type="dxa"/>
            </w:tcMar>
            <w:vAlign w:val="top"/>
          </w:tcPr>
          <w:p>
            <w:pPr>
              <w:spacing w:before="0" w:after="0"/>
            </w:pPr>
            <w:hyperlink r:id="rId52">
              <w:r>
                <w:rPr>
                  <w:color w:val="1F4E79"/>
                  <w:u w:val="single"/>
                </w:rPr>
                <w:t xml:space="preserve">RR 1.063</w:t>
              </w:r>
            </w:hyperlink>
            <w:r>
              <w:br/>
            </w:r>
            <w:r>
              <w:rPr>
                <w:sz w:val="17"/>
              </w:rPr>
              <w:t>portal 02/10</w:t>
            </w:r>
          </w:p>
        </w:tc>
        <w:tc>
          <w:tcPr>
            <w:tcW w:type="dxa" w:w="1987"/>
            <w:shd w:val="clear" w:color="auto" w:fill="F6F9FD"/>
            <w:tcMar>
              <w:top w:w="40" w:type="dxa"/>
              <w:left w:w="80" w:type="dxa"/>
              <w:bottom w:w="40" w:type="dxa"/>
              <w:right w:w="80" w:type="dxa"/>
            </w:tcMar>
            <w:vAlign w:val="top"/>
          </w:tcPr>
          <w:p>
            <w:pPr>
              <w:spacing w:before="0" w:after="0"/>
            </w:pPr>
            <w:r>
              <w:rPr>
                <w:sz w:val="17"/>
              </w:rPr>
              <w:t>Nusinersena</w:t>
            </w:r>
          </w:p>
        </w:tc>
        <w:tc>
          <w:tcPr>
            <w:tcW w:type="dxa" w:w="1987"/>
            <w:shd w:val="clear" w:color="auto" w:fill="F6F9FD"/>
            <w:tcMar>
              <w:top w:w="40" w:type="dxa"/>
              <w:left w:w="80" w:type="dxa"/>
              <w:bottom w:w="40" w:type="dxa"/>
              <w:right w:w="80" w:type="dxa"/>
            </w:tcMar>
            <w:vAlign w:val="top"/>
          </w:tcPr>
          <w:p>
            <w:pPr>
              <w:spacing w:before="0" w:after="0"/>
            </w:pPr>
            <w:r>
              <w:rPr>
                <w:sz w:val="17"/>
              </w:rPr>
              <w:t>AME 5q tipo 3, pacientes deambulantes</w:t>
            </w:r>
          </w:p>
        </w:tc>
        <w:tc>
          <w:tcPr>
            <w:tcW w:type="dxa" w:w="1987"/>
            <w:shd w:val="clear" w:color="auto" w:fill="F6F9FD"/>
            <w:tcMar>
              <w:top w:w="40" w:type="dxa"/>
              <w:left w:w="80" w:type="dxa"/>
              <w:bottom w:w="40" w:type="dxa"/>
              <w:right w:w="80" w:type="dxa"/>
            </w:tcMar>
            <w:vAlign w:val="top"/>
          </w:tcPr>
          <w:p>
            <w:pPr>
              <w:spacing w:before="0" w:after="0"/>
            </w:pPr>
            <w:r>
              <w:rPr>
                <w:b/>
                <w:color w:val="C00000"/>
                <w:sz w:val="17"/>
              </w:rPr>
              <w:t>NÃO INCORPORA (recom. final)</w:t>
            </w:r>
          </w:p>
        </w:tc>
        <w:tc>
          <w:tcPr>
            <w:tcW w:type="dxa" w:w="1987"/>
            <w:shd w:val="clear" w:color="auto" w:fill="F6F9FD"/>
            <w:tcMar>
              <w:top w:w="40" w:type="dxa"/>
              <w:left w:w="80" w:type="dxa"/>
              <w:bottom w:w="40" w:type="dxa"/>
              <w:right w:w="80" w:type="dxa"/>
            </w:tcMar>
            <w:vAlign w:val="top"/>
          </w:tcPr>
          <w:p>
            <w:pPr>
              <w:spacing w:before="0" w:after="0"/>
            </w:pPr>
            <w:hyperlink r:id="rId52">
              <w:r>
                <w:rPr>
                  <w:color w:val="1F4E79"/>
                  <w:u w:val="single"/>
                </w:rPr>
                <w:t xml:space="preserve">RR 1.063</w:t>
              </w:r>
            </w:hyperlink>
          </w:p>
        </w:tc>
      </w:tr>
    </w:tbl>
    <w:p>
      <w:pPr>
        <w:spacing w:before="0" w:after="120"/>
      </w:pPr>
    </w:p>
    <w:tbl>
      <w:tblPr>
        <w:tblW w:type="auto" w:w="0"/>
        <w:jc w:val="center"/>
        <w:tblLook w:firstColumn="1" w:firstRow="1" w:lastColumn="0" w:lastRow="0" w:noHBand="0" w:noVBand="1" w:val="04A0"/>
        <w:tblBorders>
          <w:top w:val="single" w:sz="8" w:space="0" w:color="BF8F00"/>
          <w:left w:val="single" w:sz="18" w:space="0" w:color="BF8F00"/>
          <w:bottom w:val="single" w:sz="8" w:space="0" w:color="BF8F00"/>
          <w:right w:val="single" w:sz="8" w:space="0" w:color="BF8F00"/>
          <w:insideH w:val="nil"/>
          <w:insideV w:val="nil"/>
        </w:tblBorders>
      </w:tblPr>
      <w:tblGrid>
        <w:gridCol w:w="9936"/>
      </w:tblGrid>
      <w:tr>
        <w:tc>
          <w:tcPr>
            <w:tcW w:type="dxa" w:w="9936"/>
            <w:tcW w:w="9936" w:type="dxa"/>
            <w:shd w:val="clear" w:color="auto" w:fill="FFF2CB"/>
            <w:tcMar>
              <w:top w:w="90" w:type="dxa"/>
              <w:left w:w="110" w:type="dxa"/>
              <w:bottom w:w="90" w:type="dxa"/>
              <w:right w:w="110" w:type="dxa"/>
            </w:tcMar>
          </w:tcPr>
          <w:p>
            <w:pPr>
              <w:spacing w:before="0" w:after="60"/>
            </w:pPr>
            <w:r>
              <w:rPr>
                <w:b/>
                <w:color w:val="BF8F00"/>
                <w:sz w:val="17"/>
              </w:rPr>
              <w:t>NOTA — BUROSUMABE E NUSINERSENA (ALTA LITIGIOSIDADE)</w:t>
            </w:r>
          </w:p>
          <w:p>
            <w:pPr>
              <w:spacing w:before="0" w:after="0"/>
              <w:jc w:val="both"/>
            </w:pPr>
            <w:r>
              <w:rPr>
                <w:color w:val="1F3864"/>
                <w:sz w:val="19"/>
              </w:rPr>
              <w:t>O Despacho GM/MS nº 88/2026 indeferiu o recurso e manteve a não incorporação do burosumabe (Portaria SECTICS/MS nº 36/2025; fundamento na NT nº 435/2025). O Relatório de Recomendação nº 1063 (nusinersena, AME 5q tipo 3 deambulantes) teve recomendação final desfavorável deliberada na 147ª Reunião Ordinária (08/12/2025) e foi disponibilizado no portal em 02/10/2026; monitorar a formalização por portaria da SECTICS e eventual reflexo em demandas judiciais. O link do Despacho nº 88 abre a página do DOU de 29/09/2026 que o contém; o endereço, porém, nomeia e destaca outro ato (Portaria SCTIE/MS nº 58).</w:t>
            </w:r>
          </w:p>
        </w:tc>
      </w:tr>
    </w:tbl>
    <w:p>
      <w:pPr>
        <w:spacing w:before="0" w:after="120"/>
      </w:pPr>
    </w:p>
    <w:p>
      <w:pPr>
        <w:spacing w:before="100" w:after="60"/>
      </w:pPr>
      <w:r>
        <w:rPr>
          <w:b/>
          <w:color w:val="1F4E79"/>
          <w:sz w:val="20"/>
        </w:rPr>
        <w:t>Consultas públicas abertas</w:t>
      </w:r>
    </w:p>
    <w:tbl>
      <w:tblPr>
        <w:tblW w:type="auto" w:w="0"/>
        <w:jc w:val="center"/>
        <w:tblLook w:firstColumn="1" w:firstRow="1" w:lastColumn="0" w:lastRow="0" w:noHBand="0" w:noVBand="1" w:val="04A0"/>
        <w:tblBorders>
          <w:top w:val="single" w:sz="4" w:space="0" w:color="D7DDE8"/>
          <w:left w:val="single" w:sz="4" w:space="0" w:color="D7DDE8"/>
          <w:bottom w:val="single" w:sz="4" w:space="0" w:color="D7DDE8"/>
          <w:right w:val="single" w:sz="4" w:space="0" w:color="D7DDE8"/>
          <w:insideH w:val="single" w:sz="4" w:space="0" w:color="D7DDE8"/>
          <w:insideV w:val="single" w:sz="4" w:space="0" w:color="D7DDE8"/>
        </w:tblBorders>
      </w:tblPr>
      <w:tblGrid>
        <w:gridCol w:w="3312"/>
        <w:gridCol w:w="3312"/>
        <w:gridCol w:w="3312"/>
      </w:tblGrid>
      <w:tr>
        <w:tc>
          <w:tcPr>
            <w:tcW w:type="dxa" w:w="3312"/>
            <w:shd w:val="clear" w:color="auto" w:fill="1F3864"/>
            <w:tcMar>
              <w:top w:w="50" w:type="dxa"/>
              <w:left w:w="80" w:type="dxa"/>
              <w:bottom w:w="50" w:type="dxa"/>
              <w:right w:w="80" w:type="dxa"/>
            </w:tcMar>
            <w:vAlign w:val="center"/>
          </w:tcPr>
          <w:p>
            <w:pPr>
              <w:spacing w:before="0" w:after="0"/>
            </w:pPr>
            <w:r>
              <w:rPr>
                <w:b/>
                <w:color w:val="FFFFFF"/>
                <w:sz w:val="17"/>
              </w:rPr>
              <w:t>CP</w:t>
            </w:r>
          </w:p>
        </w:tc>
        <w:tc>
          <w:tcPr>
            <w:tcW w:type="dxa" w:w="3312"/>
            <w:shd w:val="clear" w:color="auto" w:fill="1F3864"/>
            <w:tcMar>
              <w:top w:w="50" w:type="dxa"/>
              <w:left w:w="80" w:type="dxa"/>
              <w:bottom w:w="50" w:type="dxa"/>
              <w:right w:w="80" w:type="dxa"/>
            </w:tcMar>
            <w:vAlign w:val="center"/>
          </w:tcPr>
          <w:p>
            <w:pPr>
              <w:spacing w:before="0" w:after="0"/>
            </w:pPr>
            <w:r>
              <w:rPr>
                <w:b/>
                <w:color w:val="FFFFFF"/>
                <w:sz w:val="17"/>
              </w:rPr>
              <w:t>Data</w:t>
            </w:r>
          </w:p>
        </w:tc>
        <w:tc>
          <w:tcPr>
            <w:tcW w:type="dxa" w:w="3312"/>
            <w:shd w:val="clear" w:color="auto" w:fill="1F3864"/>
            <w:tcMar>
              <w:top w:w="50" w:type="dxa"/>
              <w:left w:w="80" w:type="dxa"/>
              <w:bottom w:w="50" w:type="dxa"/>
              <w:right w:w="80" w:type="dxa"/>
            </w:tcMar>
            <w:vAlign w:val="center"/>
          </w:tcPr>
          <w:p>
            <w:pPr>
              <w:spacing w:before="0" w:after="0"/>
            </w:pPr>
            <w:r>
              <w:rPr>
                <w:b/>
                <w:color w:val="FFFFFF"/>
                <w:sz w:val="17"/>
              </w:rPr>
              <w:t>Objeto</w:t>
            </w:r>
          </w:p>
        </w:tc>
      </w:tr>
      <w:tr>
        <w:tc>
          <w:tcPr>
            <w:tcW w:type="dxa" w:w="3312"/>
            <w:shd w:val="clear" w:color="auto" w:fill="FFFFFF"/>
            <w:tcMar>
              <w:top w:w="40" w:type="dxa"/>
              <w:left w:w="80" w:type="dxa"/>
              <w:bottom w:w="40" w:type="dxa"/>
              <w:right w:w="80" w:type="dxa"/>
            </w:tcMar>
            <w:vAlign w:val="top"/>
          </w:tcPr>
          <w:p>
            <w:pPr>
              <w:spacing w:before="0" w:after="0"/>
            </w:pPr>
            <w:hyperlink r:id="rId53">
              <w:r>
                <w:rPr>
                  <w:color w:val="1F4E79"/>
                  <w:u w:val="single"/>
                </w:rPr>
                <w:t xml:space="preserve">94/2026</w:t>
              </w:r>
            </w:hyperlink>
          </w:p>
        </w:tc>
        <w:tc>
          <w:tcPr>
            <w:tcW w:type="dxa" w:w="3312"/>
            <w:shd w:val="clear" w:color="auto" w:fill="FFFFFF"/>
            <w:tcMar>
              <w:top w:w="40" w:type="dxa"/>
              <w:left w:w="80" w:type="dxa"/>
              <w:bottom w:w="40" w:type="dxa"/>
              <w:right w:w="80" w:type="dxa"/>
            </w:tcMar>
            <w:vAlign w:val="top"/>
          </w:tcPr>
          <w:p>
            <w:pPr>
              <w:spacing w:before="0" w:after="0"/>
            </w:pPr>
            <w:r>
              <w:rPr>
                <w:sz w:val="17"/>
              </w:rPr>
              <w:t>14/09</w:t>
            </w:r>
          </w:p>
        </w:tc>
        <w:tc>
          <w:tcPr>
            <w:tcW w:type="dxa" w:w="3312"/>
            <w:shd w:val="clear" w:color="auto" w:fill="FFFFFF"/>
            <w:tcMar>
              <w:top w:w="40" w:type="dxa"/>
              <w:left w:w="80" w:type="dxa"/>
              <w:bottom w:w="40" w:type="dxa"/>
              <w:right w:w="80" w:type="dxa"/>
            </w:tcMar>
            <w:vAlign w:val="top"/>
          </w:tcPr>
          <w:p>
            <w:pPr>
              <w:spacing w:before="0" w:after="0"/>
            </w:pPr>
            <w:r>
              <w:rPr>
                <w:sz w:val="17"/>
              </w:rPr>
              <w:t>Atualização do PCDT da Dislipidemia e Prevenção de Eventos Cardiovasculares Ateroscleróticos</w:t>
            </w:r>
          </w:p>
        </w:tc>
      </w:tr>
      <w:tr>
        <w:tc>
          <w:tcPr>
            <w:tcW w:type="dxa" w:w="3312"/>
            <w:shd w:val="clear" w:color="auto" w:fill="F6F9FD"/>
            <w:tcMar>
              <w:top w:w="40" w:type="dxa"/>
              <w:left w:w="80" w:type="dxa"/>
              <w:bottom w:w="40" w:type="dxa"/>
              <w:right w:w="80" w:type="dxa"/>
            </w:tcMar>
            <w:vAlign w:val="top"/>
          </w:tcPr>
          <w:p>
            <w:pPr>
              <w:spacing w:before="0" w:after="0"/>
            </w:pPr>
            <w:hyperlink r:id="rId54">
              <w:r>
                <w:rPr>
                  <w:color w:val="1F4E79"/>
                  <w:u w:val="single"/>
                </w:rPr>
                <w:t xml:space="preserve">95/2026</w:t>
              </w:r>
            </w:hyperlink>
          </w:p>
        </w:tc>
        <w:tc>
          <w:tcPr>
            <w:tcW w:type="dxa" w:w="3312"/>
            <w:shd w:val="clear" w:color="auto" w:fill="F6F9FD"/>
            <w:tcMar>
              <w:top w:w="40" w:type="dxa"/>
              <w:left w:w="80" w:type="dxa"/>
              <w:bottom w:w="40" w:type="dxa"/>
              <w:right w:w="80" w:type="dxa"/>
            </w:tcMar>
            <w:vAlign w:val="top"/>
          </w:tcPr>
          <w:p>
            <w:pPr>
              <w:spacing w:before="0" w:after="0"/>
            </w:pPr>
            <w:r>
              <w:rPr>
                <w:sz w:val="17"/>
              </w:rPr>
              <w:t>14/09</w:t>
            </w:r>
          </w:p>
        </w:tc>
        <w:tc>
          <w:tcPr>
            <w:tcW w:type="dxa" w:w="3312"/>
            <w:shd w:val="clear" w:color="auto" w:fill="F6F9FD"/>
            <w:tcMar>
              <w:top w:w="40" w:type="dxa"/>
              <w:left w:w="80" w:type="dxa"/>
              <w:bottom w:w="40" w:type="dxa"/>
              <w:right w:w="80" w:type="dxa"/>
            </w:tcMar>
            <w:vAlign w:val="top"/>
          </w:tcPr>
          <w:p>
            <w:pPr>
              <w:spacing w:before="0" w:after="0"/>
            </w:pPr>
            <w:r>
              <w:rPr>
                <w:sz w:val="17"/>
              </w:rPr>
              <w:t>Atualização do PCDT da Dor Crônica</w:t>
            </w:r>
          </w:p>
        </w:tc>
      </w:tr>
      <w:tr>
        <w:tc>
          <w:tcPr>
            <w:tcW w:type="dxa" w:w="3312"/>
            <w:shd w:val="clear" w:color="auto" w:fill="FFFFFF"/>
            <w:tcMar>
              <w:top w:w="40" w:type="dxa"/>
              <w:left w:w="80" w:type="dxa"/>
              <w:bottom w:w="40" w:type="dxa"/>
              <w:right w:w="80" w:type="dxa"/>
            </w:tcMar>
            <w:vAlign w:val="top"/>
          </w:tcPr>
          <w:p>
            <w:pPr>
              <w:spacing w:before="0" w:after="0"/>
            </w:pPr>
            <w:hyperlink r:id="rId55">
              <w:r>
                <w:rPr>
                  <w:color w:val="1F4E79"/>
                  <w:u w:val="single"/>
                </w:rPr>
                <w:t xml:space="preserve">96/2026</w:t>
              </w:r>
            </w:hyperlink>
          </w:p>
        </w:tc>
        <w:tc>
          <w:tcPr>
            <w:tcW w:type="dxa" w:w="3312"/>
            <w:shd w:val="clear" w:color="auto" w:fill="FFFFFF"/>
            <w:tcMar>
              <w:top w:w="40" w:type="dxa"/>
              <w:left w:w="80" w:type="dxa"/>
              <w:bottom w:w="40" w:type="dxa"/>
              <w:right w:w="80" w:type="dxa"/>
            </w:tcMar>
            <w:vAlign w:val="top"/>
          </w:tcPr>
          <w:p>
            <w:pPr>
              <w:spacing w:before="0" w:after="0"/>
            </w:pPr>
            <w:r>
              <w:rPr>
                <w:sz w:val="17"/>
              </w:rPr>
              <w:t>14/09</w:t>
            </w:r>
          </w:p>
        </w:tc>
        <w:tc>
          <w:tcPr>
            <w:tcW w:type="dxa" w:w="3312"/>
            <w:shd w:val="clear" w:color="auto" w:fill="FFFFFF"/>
            <w:tcMar>
              <w:top w:w="40" w:type="dxa"/>
              <w:left w:w="80" w:type="dxa"/>
              <w:bottom w:w="40" w:type="dxa"/>
              <w:right w:w="80" w:type="dxa"/>
            </w:tcMar>
            <w:vAlign w:val="top"/>
          </w:tcPr>
          <w:p>
            <w:pPr>
              <w:spacing w:before="0" w:after="0"/>
            </w:pPr>
            <w:r>
              <w:rPr>
                <w:sz w:val="17"/>
              </w:rPr>
              <w:t>Resfriamento do couro cabeludo — alopecia induzida por quimioterapia (câncer de mama)</w:t>
            </w:r>
          </w:p>
        </w:tc>
      </w:tr>
      <w:tr>
        <w:tc>
          <w:tcPr>
            <w:tcW w:type="dxa" w:w="3312"/>
            <w:shd w:val="clear" w:color="auto" w:fill="F6F9FD"/>
            <w:tcMar>
              <w:top w:w="40" w:type="dxa"/>
              <w:left w:w="80" w:type="dxa"/>
              <w:bottom w:w="40" w:type="dxa"/>
              <w:right w:w="80" w:type="dxa"/>
            </w:tcMar>
            <w:vAlign w:val="top"/>
          </w:tcPr>
          <w:p>
            <w:pPr>
              <w:spacing w:before="0" w:after="0"/>
            </w:pPr>
            <w:hyperlink r:id="rId56">
              <w:r>
                <w:rPr>
                  <w:color w:val="1F4E79"/>
                  <w:u w:val="single"/>
                </w:rPr>
                <w:t xml:space="preserve">97/2026</w:t>
              </w:r>
            </w:hyperlink>
          </w:p>
        </w:tc>
        <w:tc>
          <w:tcPr>
            <w:tcW w:type="dxa" w:w="3312"/>
            <w:shd w:val="clear" w:color="auto" w:fill="F6F9FD"/>
            <w:tcMar>
              <w:top w:w="40" w:type="dxa"/>
              <w:left w:w="80" w:type="dxa"/>
              <w:bottom w:w="40" w:type="dxa"/>
              <w:right w:w="80" w:type="dxa"/>
            </w:tcMar>
            <w:vAlign w:val="top"/>
          </w:tcPr>
          <w:p>
            <w:pPr>
              <w:spacing w:before="0" w:after="0"/>
            </w:pPr>
            <w:r>
              <w:rPr>
                <w:sz w:val="17"/>
              </w:rPr>
              <w:t>28/09</w:t>
            </w:r>
          </w:p>
        </w:tc>
        <w:tc>
          <w:tcPr>
            <w:tcW w:type="dxa" w:w="3312"/>
            <w:shd w:val="clear" w:color="auto" w:fill="F6F9FD"/>
            <w:tcMar>
              <w:top w:w="40" w:type="dxa"/>
              <w:left w:w="80" w:type="dxa"/>
              <w:bottom w:w="40" w:type="dxa"/>
              <w:right w:w="80" w:type="dxa"/>
            </w:tcMar>
            <w:vAlign w:val="top"/>
          </w:tcPr>
          <w:p>
            <w:pPr>
              <w:spacing w:before="0" w:after="0"/>
            </w:pPr>
            <w:r>
              <w:rPr>
                <w:sz w:val="17"/>
              </w:rPr>
              <w:t>Risedronato sódico de liberação retardada — osteoporose em mulheres ≥ 70 anos</w:t>
            </w:r>
          </w:p>
        </w:tc>
      </w:tr>
      <w:tr>
        <w:tc>
          <w:tcPr>
            <w:tcW w:type="dxa" w:w="3312"/>
            <w:shd w:val="clear" w:color="auto" w:fill="FFFFFF"/>
            <w:tcMar>
              <w:top w:w="40" w:type="dxa"/>
              <w:left w:w="80" w:type="dxa"/>
              <w:bottom w:w="40" w:type="dxa"/>
              <w:right w:w="80" w:type="dxa"/>
            </w:tcMar>
            <w:vAlign w:val="top"/>
          </w:tcPr>
          <w:p>
            <w:pPr>
              <w:spacing w:before="0" w:after="0"/>
            </w:pPr>
            <w:hyperlink r:id="rId57">
              <w:r>
                <w:rPr>
                  <w:color w:val="1F4E79"/>
                  <w:u w:val="single"/>
                </w:rPr>
                <w:t xml:space="preserve">98/2026</w:t>
              </w:r>
            </w:hyperlink>
          </w:p>
        </w:tc>
        <w:tc>
          <w:tcPr>
            <w:tcW w:type="dxa" w:w="3312"/>
            <w:shd w:val="clear" w:color="auto" w:fill="FFFFFF"/>
            <w:tcMar>
              <w:top w:w="40" w:type="dxa"/>
              <w:left w:w="80" w:type="dxa"/>
              <w:bottom w:w="40" w:type="dxa"/>
              <w:right w:w="80" w:type="dxa"/>
            </w:tcMar>
            <w:vAlign w:val="top"/>
          </w:tcPr>
          <w:p>
            <w:pPr>
              <w:spacing w:before="0" w:after="0"/>
            </w:pPr>
            <w:r>
              <w:rPr>
                <w:sz w:val="17"/>
              </w:rPr>
              <w:t>28/09</w:t>
            </w:r>
          </w:p>
        </w:tc>
        <w:tc>
          <w:tcPr>
            <w:tcW w:type="dxa" w:w="3312"/>
            <w:shd w:val="clear" w:color="auto" w:fill="FFFFFF"/>
            <w:tcMar>
              <w:top w:w="40" w:type="dxa"/>
              <w:left w:w="80" w:type="dxa"/>
              <w:bottom w:w="40" w:type="dxa"/>
              <w:right w:w="80" w:type="dxa"/>
            </w:tcMar>
            <w:vAlign w:val="top"/>
          </w:tcPr>
          <w:p>
            <w:pPr>
              <w:spacing w:before="0" w:after="0"/>
            </w:pPr>
            <w:r>
              <w:rPr>
                <w:sz w:val="17"/>
              </w:rPr>
              <w:t>Atualização do PCDT da Hepatite B e Coinfecções</w:t>
            </w:r>
          </w:p>
        </w:tc>
      </w:tr>
      <w:tr>
        <w:tc>
          <w:tcPr>
            <w:tcW w:type="dxa" w:w="3312"/>
            <w:shd w:val="clear" w:color="auto" w:fill="F6F9FD"/>
            <w:tcMar>
              <w:top w:w="40" w:type="dxa"/>
              <w:left w:w="80" w:type="dxa"/>
              <w:bottom w:w="40" w:type="dxa"/>
              <w:right w:w="80" w:type="dxa"/>
            </w:tcMar>
            <w:vAlign w:val="top"/>
          </w:tcPr>
          <w:p>
            <w:pPr>
              <w:spacing w:before="0" w:after="0"/>
            </w:pPr>
            <w:hyperlink r:id="rId58">
              <w:r>
                <w:rPr>
                  <w:color w:val="1F4E79"/>
                  <w:u w:val="single"/>
                </w:rPr>
                <w:t xml:space="preserve">99/2026</w:t>
              </w:r>
            </w:hyperlink>
          </w:p>
        </w:tc>
        <w:tc>
          <w:tcPr>
            <w:tcW w:type="dxa" w:w="3312"/>
            <w:shd w:val="clear" w:color="auto" w:fill="F6F9FD"/>
            <w:tcMar>
              <w:top w:w="40" w:type="dxa"/>
              <w:left w:w="80" w:type="dxa"/>
              <w:bottom w:w="40" w:type="dxa"/>
              <w:right w:w="80" w:type="dxa"/>
            </w:tcMar>
            <w:vAlign w:val="top"/>
          </w:tcPr>
          <w:p>
            <w:pPr>
              <w:spacing w:before="0" w:after="0"/>
            </w:pPr>
            <w:r>
              <w:rPr>
                <w:sz w:val="17"/>
              </w:rPr>
              <w:t>28/09</w:t>
            </w:r>
          </w:p>
        </w:tc>
        <w:tc>
          <w:tcPr>
            <w:tcW w:type="dxa" w:w="3312"/>
            <w:shd w:val="clear" w:color="auto" w:fill="F6F9FD"/>
            <w:tcMar>
              <w:top w:w="40" w:type="dxa"/>
              <w:left w:w="80" w:type="dxa"/>
              <w:bottom w:w="40" w:type="dxa"/>
              <w:right w:w="80" w:type="dxa"/>
            </w:tcMar>
            <w:vAlign w:val="top"/>
          </w:tcPr>
          <w:p>
            <w:pPr>
              <w:spacing w:before="0" w:after="0"/>
            </w:pPr>
            <w:r>
              <w:rPr>
                <w:sz w:val="17"/>
              </w:rPr>
              <w:t>PCR multiplex rápido — sepse/infecção de corrente sanguínea em UTI</w:t>
            </w:r>
          </w:p>
        </w:tc>
      </w:tr>
      <w:tr>
        <w:tc>
          <w:tcPr>
            <w:tcW w:type="dxa" w:w="3312"/>
            <w:shd w:val="clear" w:color="auto" w:fill="FFFFFF"/>
            <w:tcMar>
              <w:top w:w="40" w:type="dxa"/>
              <w:left w:w="80" w:type="dxa"/>
              <w:bottom w:w="40" w:type="dxa"/>
              <w:right w:w="80" w:type="dxa"/>
            </w:tcMar>
            <w:vAlign w:val="top"/>
          </w:tcPr>
          <w:p>
            <w:pPr>
              <w:spacing w:before="0" w:after="0"/>
            </w:pPr>
            <w:hyperlink r:id="rId59">
              <w:r>
                <w:rPr>
                  <w:color w:val="1F4E79"/>
                  <w:u w:val="single"/>
                </w:rPr>
                <w:t xml:space="preserve">100/2026</w:t>
              </w:r>
            </w:hyperlink>
          </w:p>
        </w:tc>
        <w:tc>
          <w:tcPr>
            <w:tcW w:type="dxa" w:w="3312"/>
            <w:shd w:val="clear" w:color="auto" w:fill="FFFFFF"/>
            <w:tcMar>
              <w:top w:w="40" w:type="dxa"/>
              <w:left w:w="80" w:type="dxa"/>
              <w:bottom w:w="40" w:type="dxa"/>
              <w:right w:w="80" w:type="dxa"/>
            </w:tcMar>
            <w:vAlign w:val="top"/>
          </w:tcPr>
          <w:p>
            <w:pPr>
              <w:spacing w:before="0" w:after="0"/>
            </w:pPr>
            <w:r>
              <w:rPr>
                <w:sz w:val="17"/>
              </w:rPr>
              <w:t>28/09</w:t>
            </w:r>
          </w:p>
        </w:tc>
        <w:tc>
          <w:tcPr>
            <w:tcW w:type="dxa" w:w="3312"/>
            <w:shd w:val="clear" w:color="auto" w:fill="FFFFFF"/>
            <w:tcMar>
              <w:top w:w="40" w:type="dxa"/>
              <w:left w:w="80" w:type="dxa"/>
              <w:bottom w:w="40" w:type="dxa"/>
              <w:right w:w="80" w:type="dxa"/>
            </w:tcMar>
            <w:vAlign w:val="top"/>
          </w:tcPr>
          <w:p>
            <w:pPr>
              <w:spacing w:before="0" w:after="0"/>
            </w:pPr>
            <w:r>
              <w:rPr>
                <w:sz w:val="17"/>
              </w:rPr>
              <w:t>Atualização do PCDT do Câncer de Pulmão</w:t>
            </w:r>
          </w:p>
        </w:tc>
      </w:tr>
      <w:tr>
        <w:tc>
          <w:tcPr>
            <w:tcW w:type="dxa" w:w="3312"/>
            <w:shd w:val="clear" w:color="auto" w:fill="F6F9FD"/>
            <w:tcMar>
              <w:top w:w="40" w:type="dxa"/>
              <w:left w:w="80" w:type="dxa"/>
              <w:bottom w:w="40" w:type="dxa"/>
              <w:right w:w="80" w:type="dxa"/>
            </w:tcMar>
            <w:vAlign w:val="top"/>
          </w:tcPr>
          <w:p>
            <w:pPr>
              <w:spacing w:before="0" w:after="0"/>
            </w:pPr>
            <w:hyperlink r:id="rId60">
              <w:r>
                <w:rPr>
                  <w:color w:val="1F4E79"/>
                  <w:u w:val="single"/>
                </w:rPr>
                <w:t xml:space="preserve">101/2026</w:t>
              </w:r>
            </w:hyperlink>
          </w:p>
        </w:tc>
        <w:tc>
          <w:tcPr>
            <w:tcW w:type="dxa" w:w="3312"/>
            <w:shd w:val="clear" w:color="auto" w:fill="F6F9FD"/>
            <w:tcMar>
              <w:top w:w="40" w:type="dxa"/>
              <w:left w:w="80" w:type="dxa"/>
              <w:bottom w:w="40" w:type="dxa"/>
              <w:right w:w="80" w:type="dxa"/>
            </w:tcMar>
            <w:vAlign w:val="top"/>
          </w:tcPr>
          <w:p>
            <w:pPr>
              <w:spacing w:before="0" w:after="0"/>
            </w:pPr>
            <w:r>
              <w:rPr>
                <w:sz w:val="17"/>
              </w:rPr>
              <w:t>28/09 (republ. 30/09)</w:t>
            </w:r>
          </w:p>
        </w:tc>
        <w:tc>
          <w:tcPr>
            <w:tcW w:type="dxa" w:w="3312"/>
            <w:shd w:val="clear" w:color="auto" w:fill="F6F9FD"/>
            <w:tcMar>
              <w:top w:w="40" w:type="dxa"/>
              <w:left w:w="80" w:type="dxa"/>
              <w:bottom w:w="40" w:type="dxa"/>
              <w:right w:w="80" w:type="dxa"/>
            </w:tcMar>
            <w:vAlign w:val="top"/>
          </w:tcPr>
          <w:p>
            <w:pPr>
              <w:spacing w:before="0" w:after="0"/>
            </w:pPr>
            <w:r>
              <w:rPr>
                <w:sz w:val="17"/>
              </w:rPr>
              <w:t>Incorporação da omaveloxolona — Ataxia de Friedreich</w:t>
            </w:r>
          </w:p>
        </w:tc>
      </w:tr>
      <w:tr>
        <w:tc>
          <w:tcPr>
            <w:tcW w:type="dxa" w:w="3312"/>
            <w:shd w:val="clear" w:color="auto" w:fill="FFFFFF"/>
            <w:tcMar>
              <w:top w:w="40" w:type="dxa"/>
              <w:left w:w="80" w:type="dxa"/>
              <w:bottom w:w="40" w:type="dxa"/>
              <w:right w:w="80" w:type="dxa"/>
            </w:tcMar>
            <w:vAlign w:val="top"/>
          </w:tcPr>
          <w:p>
            <w:pPr>
              <w:spacing w:before="0" w:after="0"/>
            </w:pPr>
            <w:hyperlink r:id="rId61">
              <w:r>
                <w:rPr>
                  <w:color w:val="1F4E79"/>
                  <w:u w:val="single"/>
                </w:rPr>
                <w:t xml:space="preserve">102/2026</w:t>
              </w:r>
            </w:hyperlink>
          </w:p>
        </w:tc>
        <w:tc>
          <w:tcPr>
            <w:tcW w:type="dxa" w:w="3312"/>
            <w:shd w:val="clear" w:color="auto" w:fill="FFFFFF"/>
            <w:tcMar>
              <w:top w:w="40" w:type="dxa"/>
              <w:left w:w="80" w:type="dxa"/>
              <w:bottom w:w="40" w:type="dxa"/>
              <w:right w:w="80" w:type="dxa"/>
            </w:tcMar>
            <w:vAlign w:val="top"/>
          </w:tcPr>
          <w:p>
            <w:pPr>
              <w:spacing w:before="0" w:after="0"/>
            </w:pPr>
            <w:r>
              <w:rPr>
                <w:sz w:val="17"/>
              </w:rPr>
              <w:t>01/10 (DOU 02/10)</w:t>
            </w:r>
          </w:p>
        </w:tc>
        <w:tc>
          <w:tcPr>
            <w:tcW w:type="dxa" w:w="3312"/>
            <w:shd w:val="clear" w:color="auto" w:fill="FFFFFF"/>
            <w:tcMar>
              <w:top w:w="40" w:type="dxa"/>
              <w:left w:w="80" w:type="dxa"/>
              <w:bottom w:w="40" w:type="dxa"/>
              <w:right w:w="80" w:type="dxa"/>
            </w:tcMar>
            <w:vAlign w:val="top"/>
          </w:tcPr>
          <w:p>
            <w:pPr>
              <w:spacing w:before="0" w:after="0"/>
            </w:pPr>
            <w:r>
              <w:rPr>
                <w:sz w:val="17"/>
              </w:rPr>
              <w:t>Classificação de risco de agentes biológicos — biossegurança</w:t>
            </w:r>
          </w:p>
        </w:tc>
      </w:tr>
    </w:tbl>
    <w:p>
      <w:pPr>
        <w:spacing w:before="0" w:after="120"/>
      </w:pPr>
    </w:p>
    <w:tbl>
      <w:tblPr>
        <w:tblW w:type="auto" w:w="0"/>
        <w:jc w:val="center"/>
        <w:tblLook w:firstColumn="1" w:firstRow="1" w:lastColumn="0" w:lastRow="0" w:noHBand="0" w:noVBand="1" w:val="04A0"/>
        <w:tblBorders>
          <w:top w:val="single" w:sz="8" w:space="0" w:color="BF8F00"/>
          <w:left w:val="single" w:sz="18" w:space="0" w:color="BF8F00"/>
          <w:bottom w:val="single" w:sz="8" w:space="0" w:color="BF8F00"/>
          <w:right w:val="single" w:sz="8" w:space="0" w:color="BF8F00"/>
          <w:insideH w:val="nil"/>
          <w:insideV w:val="nil"/>
        </w:tblBorders>
      </w:tblPr>
      <w:tblGrid>
        <w:gridCol w:w="9936"/>
      </w:tblGrid>
      <w:tr>
        <w:tc>
          <w:tcPr>
            <w:tcW w:type="dxa" w:w="9936"/>
            <w:tcW w:w="9936" w:type="dxa"/>
            <w:shd w:val="clear" w:color="auto" w:fill="FFF2CB"/>
            <w:tcMar>
              <w:top w:w="90" w:type="dxa"/>
              <w:left w:w="110" w:type="dxa"/>
              <w:bottom w:w="90" w:type="dxa"/>
              <w:right w:w="110" w:type="dxa"/>
            </w:tcMar>
          </w:tcPr>
          <w:p>
            <w:pPr>
              <w:spacing w:before="0" w:after="60"/>
            </w:pPr>
            <w:r>
              <w:rPr>
                <w:b/>
                <w:color w:val="BF8F00"/>
                <w:sz w:val="17"/>
              </w:rPr>
              <w:t>OUTROS REGISTROS — CONITEC</w:t>
            </w:r>
          </w:p>
          <w:p>
            <w:pPr>
              <w:spacing w:before="0" w:after="0"/>
              <w:jc w:val="both"/>
            </w:pPr>
            <w:r>
              <w:rPr>
                <w:color w:val="1F3864"/>
                <w:sz w:val="19"/>
              </w:rPr>
              <w:t xml:space="preserve">Ata da 154ª Reunião (08/09/2026); II Workshop Internacional de ATS para Doenças Ultrarraras (16–17/09); oficina MS–NICE sobre negociação de preços (24/09). </w:t>
            </w:r>
            <w:hyperlink r:id="rId62">
              <w:r>
                <w:rPr>
                  <w:color w:val="1F4E79"/>
                  <w:u w:val="single"/>
                </w:rPr>
                <w:t xml:space="preserve">Ata 154ª</w:t>
              </w:r>
            </w:hyperlink>
            <w:r>
              <w:rPr>
                <w:color w:val="1F3864"/>
                <w:sz w:val="19"/>
              </w:rPr>
              <w:t xml:space="preserve"> · </w:t>
            </w:r>
            <w:hyperlink r:id="rId63">
              <w:r>
                <w:rPr>
                  <w:color w:val="1F4E79"/>
                  <w:u w:val="single"/>
                </w:rPr>
                <w:t xml:space="preserve">Workshop</w:t>
              </w:r>
            </w:hyperlink>
            <w:r>
              <w:rPr>
                <w:color w:val="1F3864"/>
                <w:sz w:val="19"/>
              </w:rPr>
              <w:t>.</w:t>
            </w:r>
          </w:p>
        </w:tc>
      </w:tr>
    </w:tbl>
    <w:p>
      <w:pPr>
        <w:spacing w:before="0" w:after="120"/>
      </w:pPr>
    </w:p>
    <w:tbl>
      <w:tblPr>
        <w:tblW w:type="auto" w:w="0"/>
        <w:jc w:val="center"/>
        <w:tblLook w:firstColumn="1" w:firstRow="1" w:lastColumn="0" w:lastRow="0" w:noHBand="0" w:noVBand="1" w:val="04A0"/>
        <w:tblBorders>
          <w:top w:val="single" w:sz="8" w:space="0" w:color="BF8F00"/>
          <w:left w:val="single" w:sz="18" w:space="0" w:color="BF8F00"/>
          <w:bottom w:val="single" w:sz="8" w:space="0" w:color="BF8F00"/>
          <w:right w:val="single" w:sz="8" w:space="0" w:color="BF8F00"/>
          <w:insideH w:val="nil"/>
          <w:insideV w:val="nil"/>
        </w:tblBorders>
      </w:tblPr>
      <w:tblGrid>
        <w:gridCol w:w="9936"/>
      </w:tblGrid>
      <w:tr>
        <w:tc>
          <w:tcPr>
            <w:tcW w:type="dxa" w:w="9936"/>
            <w:tcW w:w="9936" w:type="dxa"/>
            <w:shd w:val="clear" w:color="auto" w:fill="FFF2CB"/>
            <w:tcMar>
              <w:top w:w="90" w:type="dxa"/>
              <w:left w:w="110" w:type="dxa"/>
              <w:bottom w:w="90" w:type="dxa"/>
              <w:right w:w="110" w:type="dxa"/>
            </w:tcMar>
          </w:tcPr>
          <w:p>
            <w:pPr>
              <w:spacing w:before="0" w:after="60"/>
            </w:pPr>
            <w:r>
              <w:rPr>
                <w:b/>
                <w:color w:val="BF8F00"/>
                <w:sz w:val="17"/>
              </w:rPr>
              <w:t>NOTA DE APOIO — PAINEL POWER BI "RECOMENDAÇÕES DA CONITEC"</w:t>
            </w:r>
          </w:p>
          <w:p>
            <w:pPr>
              <w:spacing w:before="0" w:after="0"/>
              <w:jc w:val="both"/>
            </w:pPr>
            <w:r>
              <w:rPr>
                <w:color w:val="1F3864"/>
                <w:sz w:val="19"/>
              </w:rPr>
              <w:t xml:space="preserve">Painel oficial do DGITS/SCTIE/MS, atualizado diariamente (1.251 registros): mapeia Tecnologia → Indicação → Relatório → Recomendação Final → Decisão do MS → Portaria → Data de Publicação. Útil para confirmar o número da portaria e cruzar recomendação↔ato↔decisão. </w:t>
            </w:r>
            <w:hyperlink r:id="rId64">
              <w:r>
                <w:rPr>
                  <w:color w:val="1F4E79"/>
                  <w:u w:val="single"/>
                </w:rPr>
                <w:t xml:space="preserve">Abrir painel</w:t>
              </w:r>
            </w:hyperlink>
            <w:r>
              <w:rPr>
                <w:color w:val="1F3864"/>
                <w:sz w:val="19"/>
              </w:rPr>
              <w:t>.</w:t>
            </w:r>
          </w:p>
        </w:tc>
      </w:tr>
    </w:tbl>
    <w:p>
      <w:pPr>
        <w:spacing w:before="0" w:after="120"/>
      </w:pPr>
    </w:p>
    <w:p>
      <w:pPr>
        <w:spacing w:before="140" w:after="80"/>
      </w:pPr>
      <w:r>
        <w:rPr>
          <w:b/>
          <w:color w:val="1F3864"/>
          <w:sz w:val="22"/>
        </w:rPr>
        <w:t>4.4 ANS</w:t>
      </w:r>
      <w:r>
        <w:t xml:space="preserve">  </w:t>
      </w:r>
      <w:r>
        <w:rPr>
          <w:b/>
          <w:color w:val="FFFFFF"/>
          <w:sz w:val="14"/>
          <w:shd w:val="clear" w:color="auto" w:fill="1F3864"/>
        </w:rPr>
        <w:t xml:space="preserve"> SAÚDE SUPLEMENTAR </w:t>
      </w:r>
    </w:p>
    <w:tbl>
      <w:tblPr>
        <w:tblW w:type="auto" w:w="0"/>
        <w:jc w:val="center"/>
        <w:tblLook w:firstColumn="1" w:firstRow="1" w:lastColumn="0" w:lastRow="0" w:noHBand="0" w:noVBand="1" w:val="04A0"/>
        <w:tblBorders>
          <w:top w:val="single" w:sz="4" w:space="0" w:color="D7DDE8"/>
          <w:left w:val="single" w:sz="24" w:space="0" w:color="1F4E79"/>
          <w:bottom w:val="single" w:sz="4" w:space="0" w:color="D7DDE8"/>
          <w:right w:val="single" w:sz="4" w:space="0" w:color="D7DDE8"/>
          <w:insideH w:val="single" w:sz="4" w:space="0" w:color="D7DDE8"/>
          <w:insideV w:val="nil"/>
        </w:tblBorders>
      </w:tblPr>
      <w:tblGrid>
        <w:gridCol w:w="4968"/>
        <w:gridCol w:w="4968"/>
      </w:tblGrid>
      <w:tr>
        <w:tc>
          <w:tcPr>
            <w:tcW w:type="dxa" w:w="9936"/>
            <w:gridSpan w:val="2"/>
            <w:shd w:val="clear" w:color="auto" w:fill="F6F9FD"/>
            <w:tcMar>
              <w:top w:w="70" w:type="dxa"/>
              <w:left w:w="110" w:type="dxa"/>
              <w:bottom w:w="70" w:type="dxa"/>
              <w:right w:w="110" w:type="dxa"/>
            </w:tcMar>
          </w:tcPr>
          <w:p>
            <w:pPr>
              <w:spacing w:before="0" w:after="20"/>
            </w:pPr>
            <w:r>
              <w:rPr>
                <w:b/>
                <w:color w:val="FFFFFF"/>
                <w:sz w:val="14"/>
                <w:shd w:val="clear" w:color="auto" w:fill="1F3864"/>
              </w:rPr>
              <w:t xml:space="preserve"> SAÚDE SUPLEMENTAR </w:t>
            </w:r>
            <w:r>
              <w:rPr>
                <w:b/>
                <w:color w:val="556677"/>
                <w:sz w:val="15"/>
              </w:rPr>
              <w:t xml:space="preserve">  ANS · RN Nº 680/2026 — ATUALIZAÇÃO DO ROL</w:t>
            </w:r>
          </w:p>
          <w:p>
            <w:pPr>
              <w:spacing w:before="0" w:after="20"/>
            </w:pPr>
            <w:r>
              <w:rPr>
                <w:b/>
                <w:color w:val="1F3864"/>
                <w:sz w:val="21"/>
              </w:rPr>
              <w:t>Resolução Normativa ANS nº 680/2026 — DOU 22/09/2026 — vigência 01/10/2026</w:t>
            </w:r>
          </w:p>
          <w:p>
            <w:pPr>
              <w:spacing w:before="0" w:after="0"/>
            </w:pPr>
            <w:r>
              <w:rPr>
                <w:i/>
                <w:color w:val="37475A"/>
                <w:sz w:val="18"/>
              </w:rPr>
              <w:t>Atualização do Rol: cinco tecnologias (643ª DICOL, 18/09/2026).</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Objeto</w:t>
            </w:r>
          </w:p>
        </w:tc>
        <w:tc>
          <w:tcPr>
            <w:tcW w:type="dxa" w:w="4968"/>
            <w:tcW w:w="7632" w:type="dxa"/>
            <w:tcMar>
              <w:top w:w="50" w:type="dxa"/>
              <w:left w:w="110" w:type="dxa"/>
              <w:bottom w:w="50" w:type="dxa"/>
              <w:right w:w="100" w:type="dxa"/>
            </w:tcMar>
            <w:vAlign w:val="top"/>
          </w:tcPr>
          <w:p>
            <w:pPr>
              <w:spacing w:before="0" w:after="0"/>
              <w:jc w:val="both"/>
            </w:pPr>
            <w:r>
              <w:rPr>
                <w:sz w:val="19"/>
              </w:rPr>
              <w:t>Formaliza a atualização aprovada na 643ª DICOL; altera a RN 465/2021 (Lei nº 14.307/2022). Tecnologias: anfotericina B lipossomal — leishmaniose visceral (DUT 158); rituximabe — manutenção em vasculite ANCA (DUT 65.17); adalimumabe — uveíte não infecciosa pediátrica (DUT 65.12); DIU/SIU hormonal (nova DUT 175); elastografia hepática — colangite biliar primária (DUT 119).</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Desdobramento (01/10)</w:t>
            </w:r>
          </w:p>
        </w:tc>
        <w:tc>
          <w:tcPr>
            <w:tcW w:type="dxa" w:w="4968"/>
            <w:tcW w:w="7632" w:type="dxa"/>
            <w:tcMar>
              <w:top w:w="50" w:type="dxa"/>
              <w:left w:w="110" w:type="dxa"/>
              <w:bottom w:w="50" w:type="dxa"/>
              <w:right w:w="100" w:type="dxa"/>
            </w:tcMar>
            <w:vAlign w:val="top"/>
          </w:tcPr>
          <w:p>
            <w:pPr>
              <w:spacing w:before="0" w:after="0"/>
              <w:jc w:val="both"/>
            </w:pPr>
            <w:r>
              <w:rPr>
                <w:sz w:val="19"/>
              </w:rPr>
              <w:t>Entrada em vigor com cobertura obrigatória de DIU hormonal para endometriose.</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Fonte</w:t>
            </w:r>
          </w:p>
        </w:tc>
        <w:tc>
          <w:tcPr>
            <w:tcW w:type="dxa" w:w="4968"/>
            <w:tcW w:w="7632" w:type="dxa"/>
            <w:tcMar>
              <w:top w:w="50" w:type="dxa"/>
              <w:left w:w="110" w:type="dxa"/>
              <w:bottom w:w="50" w:type="dxa"/>
              <w:right w:w="100" w:type="dxa"/>
            </w:tcMar>
            <w:vAlign w:val="top"/>
          </w:tcPr>
          <w:p>
            <w:pPr>
              <w:spacing w:before="0" w:after="0"/>
              <w:jc w:val="both"/>
            </w:pPr>
            <w:r>
              <w:rPr>
                <w:sz w:val="19"/>
              </w:rPr>
              <w:t xml:space="preserve">RN nº 680/2026 (DOU 22/09/2026) · </w:t>
            </w:r>
            <w:hyperlink r:id="rId65">
              <w:r>
                <w:rPr>
                  <w:color w:val="1F4E79"/>
                  <w:u w:val="single"/>
                </w:rPr>
                <w:t xml:space="preserve">ANS — notícia</w:t>
              </w:r>
            </w:hyperlink>
            <w:r>
              <w:rPr>
                <w:sz w:val="19"/>
              </w:rPr>
              <w:t xml:space="preserve"> · </w:t>
            </w:r>
            <w:hyperlink r:id="rId66">
              <w:r>
                <w:rPr>
                  <w:color w:val="1F4E79"/>
                  <w:u w:val="single"/>
                </w:rPr>
                <w:t xml:space="preserve">643ª DICOL</w:t>
              </w:r>
            </w:hyperlink>
          </w:p>
        </w:tc>
      </w:tr>
    </w:tbl>
    <w:p>
      <w:pPr>
        <w:spacing w:before="0" w:after="120"/>
      </w:pPr>
    </w:p>
    <w:tbl>
      <w:tblPr>
        <w:tblW w:type="auto" w:w="0"/>
        <w:jc w:val="center"/>
        <w:tblLook w:firstColumn="1" w:firstRow="1" w:lastColumn="0" w:lastRow="0" w:noHBand="0" w:noVBand="1" w:val="04A0"/>
        <w:tblBorders>
          <w:top w:val="single" w:sz="4" w:space="0" w:color="D7DDE8"/>
          <w:left w:val="single" w:sz="24" w:space="0" w:color="1F4E79"/>
          <w:bottom w:val="single" w:sz="4" w:space="0" w:color="D7DDE8"/>
          <w:right w:val="single" w:sz="4" w:space="0" w:color="D7DDE8"/>
          <w:insideH w:val="single" w:sz="4" w:space="0" w:color="D7DDE8"/>
          <w:insideV w:val="nil"/>
        </w:tblBorders>
      </w:tblPr>
      <w:tblGrid>
        <w:gridCol w:w="4968"/>
        <w:gridCol w:w="4968"/>
      </w:tblGrid>
      <w:tr>
        <w:tc>
          <w:tcPr>
            <w:tcW w:type="dxa" w:w="9936"/>
            <w:gridSpan w:val="2"/>
            <w:shd w:val="clear" w:color="auto" w:fill="F6F9FD"/>
            <w:tcMar>
              <w:top w:w="70" w:type="dxa"/>
              <w:left w:w="110" w:type="dxa"/>
              <w:bottom w:w="70" w:type="dxa"/>
              <w:right w:w="110" w:type="dxa"/>
            </w:tcMar>
          </w:tcPr>
          <w:p>
            <w:pPr>
              <w:spacing w:before="0" w:after="20"/>
            </w:pPr>
            <w:r>
              <w:rPr>
                <w:b/>
                <w:color w:val="FFFFFF"/>
                <w:sz w:val="14"/>
                <w:shd w:val="clear" w:color="auto" w:fill="1F3864"/>
              </w:rPr>
              <w:t xml:space="preserve"> SAÚDE SUPLEMENTAR </w:t>
            </w:r>
            <w:r>
              <w:rPr>
                <w:b/>
                <w:color w:val="556677"/>
                <w:sz w:val="15"/>
              </w:rPr>
              <w:t xml:space="preserve">  ANS · MAMOGRAFIA DIGITAL SEM LIMITE DE IDADE (ATUALIZAÇÃO DA ED. 6)</w:t>
            </w:r>
          </w:p>
          <w:p>
            <w:pPr>
              <w:spacing w:before="0" w:after="20"/>
            </w:pPr>
            <w:r>
              <w:rPr>
                <w:b/>
                <w:color w:val="1F3864"/>
                <w:sz w:val="21"/>
              </w:rPr>
              <w:t>Aprovação em 03/09/2026 — vigência 01/10/2026</w:t>
            </w:r>
          </w:p>
          <w:p>
            <w:pPr>
              <w:spacing w:before="0" w:after="0"/>
            </w:pPr>
            <w:r>
              <w:rPr>
                <w:i/>
                <w:color w:val="37475A"/>
                <w:sz w:val="18"/>
              </w:rPr>
              <w:t>Exclusão da DUT; cobertura conforme prescrição.</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Objeto</w:t>
            </w:r>
          </w:p>
        </w:tc>
        <w:tc>
          <w:tcPr>
            <w:tcW w:type="dxa" w:w="4968"/>
            <w:tcW w:w="7632" w:type="dxa"/>
            <w:tcMar>
              <w:top w:w="50" w:type="dxa"/>
              <w:left w:w="110" w:type="dxa"/>
              <w:bottom w:w="50" w:type="dxa"/>
              <w:right w:w="100" w:type="dxa"/>
            </w:tcMar>
            <w:vAlign w:val="top"/>
          </w:tcPr>
          <w:p>
            <w:pPr>
              <w:spacing w:before="0" w:after="0"/>
              <w:jc w:val="both"/>
            </w:pPr>
            <w:r>
              <w:rPr>
                <w:sz w:val="19"/>
              </w:rPr>
              <w:t>Cobertura de mamografia digital sem a faixa de 40 a 69 anos, conforme prescrição. A Edição 6 noticiou a submissão à DICOL.</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Fonte</w:t>
            </w:r>
          </w:p>
        </w:tc>
        <w:tc>
          <w:tcPr>
            <w:tcW w:type="dxa" w:w="4968"/>
            <w:tcW w:w="7632" w:type="dxa"/>
            <w:tcMar>
              <w:top w:w="50" w:type="dxa"/>
              <w:left w:w="110" w:type="dxa"/>
              <w:bottom w:w="50" w:type="dxa"/>
              <w:right w:w="100" w:type="dxa"/>
            </w:tcMar>
            <w:vAlign w:val="top"/>
          </w:tcPr>
          <w:p>
            <w:pPr>
              <w:spacing w:before="0" w:after="0"/>
              <w:jc w:val="both"/>
            </w:pPr>
            <w:hyperlink r:id="rId67">
              <w:r>
                <w:rPr>
                  <w:color w:val="1F4E79"/>
                  <w:u w:val="single"/>
                </w:rPr>
                <w:t xml:space="preserve">ANS — notícia</w:t>
              </w:r>
            </w:hyperlink>
          </w:p>
        </w:tc>
      </w:tr>
    </w:tbl>
    <w:p>
      <w:pPr>
        <w:spacing w:before="0" w:after="120"/>
      </w:pPr>
    </w:p>
    <w:tbl>
      <w:tblPr>
        <w:tblW w:type="auto" w:w="0"/>
        <w:jc w:val="center"/>
        <w:tblLook w:firstColumn="1" w:firstRow="1" w:lastColumn="0" w:lastRow="0" w:noHBand="0" w:noVBand="1" w:val="04A0"/>
        <w:tblBorders>
          <w:top w:val="single" w:sz="4" w:space="0" w:color="D7DDE8"/>
          <w:left w:val="single" w:sz="24" w:space="0" w:color="1F4E79"/>
          <w:bottom w:val="single" w:sz="4" w:space="0" w:color="D7DDE8"/>
          <w:right w:val="single" w:sz="4" w:space="0" w:color="D7DDE8"/>
          <w:insideH w:val="single" w:sz="4" w:space="0" w:color="D7DDE8"/>
          <w:insideV w:val="nil"/>
        </w:tblBorders>
      </w:tblPr>
      <w:tblGrid>
        <w:gridCol w:w="4968"/>
        <w:gridCol w:w="4968"/>
      </w:tblGrid>
      <w:tr>
        <w:tc>
          <w:tcPr>
            <w:tcW w:type="dxa" w:w="9936"/>
            <w:gridSpan w:val="2"/>
            <w:shd w:val="clear" w:color="auto" w:fill="F6F9FD"/>
            <w:tcMar>
              <w:top w:w="70" w:type="dxa"/>
              <w:left w:w="110" w:type="dxa"/>
              <w:bottom w:w="70" w:type="dxa"/>
              <w:right w:w="110" w:type="dxa"/>
            </w:tcMar>
          </w:tcPr>
          <w:p>
            <w:pPr>
              <w:spacing w:before="0" w:after="20"/>
            </w:pPr>
            <w:r>
              <w:rPr>
                <w:b/>
                <w:color w:val="FFFFFF"/>
                <w:sz w:val="14"/>
                <w:shd w:val="clear" w:color="auto" w:fill="1F3864"/>
              </w:rPr>
              <w:t xml:space="preserve"> SAÚDE SUPLEMENTAR </w:t>
            </w:r>
            <w:r>
              <w:rPr>
                <w:b/>
                <w:color w:val="556677"/>
                <w:sz w:val="15"/>
              </w:rPr>
              <w:t xml:space="preserve">  ANS · CONSULTA PÚBLICA 177 / AUDIÊNCIA PÚBLICA 69</w:t>
            </w:r>
          </w:p>
          <w:p>
            <w:pPr>
              <w:spacing w:before="0" w:after="20"/>
            </w:pPr>
            <w:r>
              <w:rPr>
                <w:b/>
                <w:color w:val="1F3864"/>
                <w:sz w:val="21"/>
              </w:rPr>
              <w:t>CP 177 (09–28/09/2026) · AP 69 (16/09/2026)</w:t>
            </w:r>
          </w:p>
          <w:p>
            <w:pPr>
              <w:spacing w:before="0" w:after="0"/>
            </w:pPr>
            <w:r>
              <w:rPr>
                <w:i/>
                <w:color w:val="37475A"/>
                <w:sz w:val="18"/>
              </w:rPr>
              <w:t>Modulação da contratilidade cardíaca e teste de 21 genes (câncer de mama).</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Objeto</w:t>
            </w:r>
          </w:p>
        </w:tc>
        <w:tc>
          <w:tcPr>
            <w:tcW w:type="dxa" w:w="4968"/>
            <w:tcW w:w="7632" w:type="dxa"/>
            <w:tcMar>
              <w:top w:w="50" w:type="dxa"/>
              <w:left w:w="110" w:type="dxa"/>
              <w:bottom w:w="50" w:type="dxa"/>
              <w:right w:w="100" w:type="dxa"/>
            </w:tcMar>
            <w:vAlign w:val="top"/>
          </w:tcPr>
          <w:p>
            <w:pPr>
              <w:spacing w:before="0" w:after="0"/>
              <w:jc w:val="both"/>
            </w:pPr>
            <w:r>
              <w:rPr>
                <w:sz w:val="19"/>
              </w:rPr>
              <w:t>Modulação da contratilidade cardíaca (IC NYHA III–IV) e teste de 21 genes (câncer de mama inicial RH+/HER2−), com recomendação preliminar desfavorável.</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Fonte</w:t>
            </w:r>
          </w:p>
        </w:tc>
        <w:tc>
          <w:tcPr>
            <w:tcW w:type="dxa" w:w="4968"/>
            <w:tcW w:w="7632" w:type="dxa"/>
            <w:tcMar>
              <w:top w:w="50" w:type="dxa"/>
              <w:left w:w="110" w:type="dxa"/>
              <w:bottom w:w="50" w:type="dxa"/>
              <w:right w:w="100" w:type="dxa"/>
            </w:tcMar>
            <w:vAlign w:val="top"/>
          </w:tcPr>
          <w:p>
            <w:pPr>
              <w:spacing w:before="0" w:after="0"/>
              <w:jc w:val="both"/>
            </w:pPr>
            <w:hyperlink r:id="rId68">
              <w:r>
                <w:rPr>
                  <w:color w:val="1F4E79"/>
                  <w:u w:val="single"/>
                </w:rPr>
                <w:t xml:space="preserve">CP 177</w:t>
              </w:r>
            </w:hyperlink>
            <w:r>
              <w:rPr>
                <w:sz w:val="19"/>
              </w:rPr>
              <w:t xml:space="preserve"> · </w:t>
            </w:r>
            <w:hyperlink r:id="rId69">
              <w:r>
                <w:rPr>
                  <w:color w:val="1F4E79"/>
                  <w:u w:val="single"/>
                </w:rPr>
                <w:t xml:space="preserve">AP 69</w:t>
              </w:r>
            </w:hyperlink>
          </w:p>
        </w:tc>
      </w:tr>
    </w:tbl>
    <w:p>
      <w:pPr>
        <w:spacing w:before="0" w:after="120"/>
      </w:pPr>
    </w:p>
    <w:tbl>
      <w:tblPr>
        <w:tblW w:type="auto" w:w="0"/>
        <w:jc w:val="center"/>
        <w:tblLook w:firstColumn="1" w:firstRow="1" w:lastColumn="0" w:lastRow="0" w:noHBand="0" w:noVBand="1" w:val="04A0"/>
        <w:tblBorders>
          <w:top w:val="single" w:sz="4" w:space="0" w:color="D7DDE8"/>
          <w:left w:val="single" w:sz="24" w:space="0" w:color="1F4E79"/>
          <w:bottom w:val="single" w:sz="4" w:space="0" w:color="D7DDE8"/>
          <w:right w:val="single" w:sz="4" w:space="0" w:color="D7DDE8"/>
          <w:insideH w:val="single" w:sz="4" w:space="0" w:color="D7DDE8"/>
          <w:insideV w:val="nil"/>
        </w:tblBorders>
      </w:tblPr>
      <w:tblGrid>
        <w:gridCol w:w="4968"/>
        <w:gridCol w:w="4968"/>
      </w:tblGrid>
      <w:tr>
        <w:tc>
          <w:tcPr>
            <w:tcW w:type="dxa" w:w="9936"/>
            <w:gridSpan w:val="2"/>
            <w:shd w:val="clear" w:color="auto" w:fill="F6F9FD"/>
            <w:tcMar>
              <w:top w:w="70" w:type="dxa"/>
              <w:left w:w="110" w:type="dxa"/>
              <w:bottom w:w="70" w:type="dxa"/>
              <w:right w:w="110" w:type="dxa"/>
            </w:tcMar>
          </w:tcPr>
          <w:p>
            <w:pPr>
              <w:spacing w:before="0" w:after="20"/>
            </w:pPr>
            <w:r>
              <w:rPr>
                <w:b/>
                <w:color w:val="FFFFFF"/>
                <w:sz w:val="14"/>
                <w:shd w:val="clear" w:color="auto" w:fill="1F3864"/>
              </w:rPr>
              <w:t xml:space="preserve"> SAÚDE SUPLEMENTAR </w:t>
            </w:r>
            <w:r>
              <w:rPr>
                <w:b/>
                <w:color w:val="556677"/>
                <w:sz w:val="15"/>
              </w:rPr>
              <w:t xml:space="preserve">  ANS · CONSULTA PÚBLICA 176</w:t>
            </w:r>
          </w:p>
          <w:p>
            <w:pPr>
              <w:spacing w:before="0" w:after="20"/>
            </w:pPr>
            <w:r>
              <w:rPr>
                <w:b/>
                <w:color w:val="1F3864"/>
                <w:sz w:val="21"/>
              </w:rPr>
              <w:t>CP 176 (21/09–10/10/2026)</w:t>
            </w:r>
          </w:p>
          <w:p>
            <w:pPr>
              <w:spacing w:before="0" w:after="0"/>
            </w:pPr>
            <w:r>
              <w:rPr>
                <w:i/>
                <w:color w:val="37475A"/>
                <w:sz w:val="18"/>
              </w:rPr>
              <w:t>Sequenciamento completo do exoma (DUT 110.39).</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Objeto</w:t>
            </w:r>
          </w:p>
        </w:tc>
        <w:tc>
          <w:tcPr>
            <w:tcW w:type="dxa" w:w="4968"/>
            <w:tcW w:w="7632" w:type="dxa"/>
            <w:tcMar>
              <w:top w:w="50" w:type="dxa"/>
              <w:left w:w="110" w:type="dxa"/>
              <w:bottom w:w="50" w:type="dxa"/>
              <w:right w:w="100" w:type="dxa"/>
            </w:tcMar>
            <w:vAlign w:val="top"/>
          </w:tcPr>
          <w:p>
            <w:pPr>
              <w:spacing w:before="0" w:after="0"/>
              <w:jc w:val="both"/>
            </w:pPr>
            <w:r>
              <w:rPr>
                <w:sz w:val="19"/>
              </w:rPr>
              <w:t>Deficiência intelectual ou atraso global do desenvolvimento de causa indeterminada.</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Fonte</w:t>
            </w:r>
          </w:p>
        </w:tc>
        <w:tc>
          <w:tcPr>
            <w:tcW w:type="dxa" w:w="4968"/>
            <w:tcW w:w="7632" w:type="dxa"/>
            <w:tcMar>
              <w:top w:w="50" w:type="dxa"/>
              <w:left w:w="110" w:type="dxa"/>
              <w:bottom w:w="50" w:type="dxa"/>
              <w:right w:w="100" w:type="dxa"/>
            </w:tcMar>
            <w:vAlign w:val="top"/>
          </w:tcPr>
          <w:p>
            <w:pPr>
              <w:spacing w:before="0" w:after="0"/>
              <w:jc w:val="both"/>
            </w:pPr>
            <w:hyperlink r:id="rId70">
              <w:r>
                <w:rPr>
                  <w:color w:val="1F4E79"/>
                  <w:u w:val="single"/>
                </w:rPr>
                <w:t xml:space="preserve">CP 176</w:t>
              </w:r>
            </w:hyperlink>
          </w:p>
        </w:tc>
      </w:tr>
    </w:tbl>
    <w:p>
      <w:pPr>
        <w:spacing w:before="0" w:after="120"/>
      </w:pPr>
    </w:p>
    <w:tbl>
      <w:tblPr>
        <w:tblW w:type="auto" w:w="0"/>
        <w:jc w:val="center"/>
        <w:tblLook w:firstColumn="1" w:firstRow="1" w:lastColumn="0" w:lastRow="0" w:noHBand="0" w:noVBand="1" w:val="04A0"/>
        <w:tblBorders>
          <w:top w:val="single" w:sz="4" w:space="0" w:color="D7DDE8"/>
          <w:left w:val="single" w:sz="24" w:space="0" w:color="1F4E79"/>
          <w:bottom w:val="single" w:sz="4" w:space="0" w:color="D7DDE8"/>
          <w:right w:val="single" w:sz="4" w:space="0" w:color="D7DDE8"/>
          <w:insideH w:val="single" w:sz="4" w:space="0" w:color="D7DDE8"/>
          <w:insideV w:val="nil"/>
        </w:tblBorders>
      </w:tblPr>
      <w:tblGrid>
        <w:gridCol w:w="4968"/>
        <w:gridCol w:w="4968"/>
      </w:tblGrid>
      <w:tr>
        <w:tc>
          <w:tcPr>
            <w:tcW w:type="dxa" w:w="9936"/>
            <w:gridSpan w:val="2"/>
            <w:shd w:val="clear" w:color="auto" w:fill="F6F9FD"/>
            <w:tcMar>
              <w:top w:w="70" w:type="dxa"/>
              <w:left w:w="110" w:type="dxa"/>
              <w:bottom w:w="70" w:type="dxa"/>
              <w:right w:w="110" w:type="dxa"/>
            </w:tcMar>
          </w:tcPr>
          <w:p>
            <w:pPr>
              <w:spacing w:before="0" w:after="20"/>
            </w:pPr>
            <w:r>
              <w:rPr>
                <w:b/>
                <w:color w:val="FFFFFF"/>
                <w:sz w:val="14"/>
                <w:shd w:val="clear" w:color="auto" w:fill="1F3864"/>
              </w:rPr>
              <w:t xml:space="preserve"> SAÚDE SUPLEMENTAR </w:t>
            </w:r>
            <w:r>
              <w:rPr>
                <w:b/>
                <w:color w:val="556677"/>
                <w:sz w:val="15"/>
              </w:rPr>
              <w:t xml:space="preserve">  ANS · 55ª REUNIÃO DA COSAÚDE</w:t>
            </w:r>
          </w:p>
          <w:p>
            <w:pPr>
              <w:spacing w:before="0" w:after="20"/>
            </w:pPr>
            <w:r>
              <w:rPr>
                <w:b/>
                <w:color w:val="1F3864"/>
                <w:sz w:val="21"/>
              </w:rPr>
              <w:t>55ª Cosaúde — 23/09/2026</w:t>
            </w:r>
          </w:p>
          <w:p>
            <w:pPr>
              <w:spacing w:before="0" w:after="0"/>
            </w:pPr>
            <w:r>
              <w:rPr>
                <w:i/>
                <w:color w:val="37475A"/>
                <w:sz w:val="18"/>
              </w:rPr>
              <w:t>Discussão preliminar de tecnologias e análise de participação social.</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Objeto</w:t>
            </w:r>
          </w:p>
        </w:tc>
        <w:tc>
          <w:tcPr>
            <w:tcW w:type="dxa" w:w="4968"/>
            <w:tcW w:w="7632" w:type="dxa"/>
            <w:tcMar>
              <w:top w:w="50" w:type="dxa"/>
              <w:left w:w="110" w:type="dxa"/>
              <w:bottom w:w="50" w:type="dxa"/>
              <w:right w:w="100" w:type="dxa"/>
            </w:tcMar>
            <w:vAlign w:val="top"/>
          </w:tcPr>
          <w:p>
            <w:pPr>
              <w:spacing w:before="0" w:after="0"/>
              <w:jc w:val="both"/>
            </w:pPr>
            <w:r>
              <w:rPr>
                <w:sz w:val="19"/>
              </w:rPr>
              <w:t>Cabozantinibe (tumores neuroendócrinos) e somatrogona (deficiência de GH, 3–18 anos). Criobiópsia (DPI) e colangioscopia com litotripsia seguem à DICOL.</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Fonte</w:t>
            </w:r>
          </w:p>
        </w:tc>
        <w:tc>
          <w:tcPr>
            <w:tcW w:type="dxa" w:w="4968"/>
            <w:tcW w:w="7632" w:type="dxa"/>
            <w:tcMar>
              <w:top w:w="50" w:type="dxa"/>
              <w:left w:w="110" w:type="dxa"/>
              <w:bottom w:w="50" w:type="dxa"/>
              <w:right w:w="100" w:type="dxa"/>
            </w:tcMar>
            <w:vAlign w:val="top"/>
          </w:tcPr>
          <w:p>
            <w:pPr>
              <w:spacing w:before="0" w:after="0"/>
              <w:jc w:val="both"/>
            </w:pPr>
            <w:hyperlink r:id="rId71">
              <w:r>
                <w:rPr>
                  <w:color w:val="1F4E79"/>
                  <w:u w:val="single"/>
                </w:rPr>
                <w:t xml:space="preserve">ANS — Cosaúde</w:t>
              </w:r>
            </w:hyperlink>
          </w:p>
        </w:tc>
      </w:tr>
    </w:tbl>
    <w:p>
      <w:pPr>
        <w:spacing w:before="0" w:after="120"/>
      </w:pPr>
    </w:p>
    <w:tbl>
      <w:tblPr>
        <w:tblW w:type="auto" w:w="0"/>
        <w:jc w:val="center"/>
        <w:tblLook w:firstColumn="1" w:firstRow="1" w:lastColumn="0" w:lastRow="0" w:noHBand="0" w:noVBand="1" w:val="04A0"/>
        <w:tblBorders>
          <w:top w:val="single" w:sz="4" w:space="0" w:color="D7DDE8"/>
          <w:left w:val="single" w:sz="24" w:space="0" w:color="1F4E79"/>
          <w:bottom w:val="single" w:sz="4" w:space="0" w:color="D7DDE8"/>
          <w:right w:val="single" w:sz="4" w:space="0" w:color="D7DDE8"/>
          <w:insideH w:val="single" w:sz="4" w:space="0" w:color="D7DDE8"/>
          <w:insideV w:val="nil"/>
        </w:tblBorders>
      </w:tblPr>
      <w:tblGrid>
        <w:gridCol w:w="4968"/>
        <w:gridCol w:w="4968"/>
      </w:tblGrid>
      <w:tr>
        <w:tc>
          <w:tcPr>
            <w:tcW w:type="dxa" w:w="9936"/>
            <w:gridSpan w:val="2"/>
            <w:shd w:val="clear" w:color="auto" w:fill="F6F9FD"/>
            <w:tcMar>
              <w:top w:w="70" w:type="dxa"/>
              <w:left w:w="110" w:type="dxa"/>
              <w:bottom w:w="70" w:type="dxa"/>
              <w:right w:w="110" w:type="dxa"/>
            </w:tcMar>
          </w:tcPr>
          <w:p>
            <w:pPr>
              <w:spacing w:before="0" w:after="20"/>
            </w:pPr>
            <w:r>
              <w:rPr>
                <w:b/>
                <w:color w:val="1F4E79"/>
                <w:sz w:val="14"/>
                <w:shd w:val="clear" w:color="auto" w:fill="D9E2F3"/>
              </w:rPr>
              <w:t xml:space="preserve"> SUS </w:t>
            </w:r>
            <w:r>
              <w:rPr>
                <w:b/>
                <w:color w:val="FFFFFF"/>
                <w:sz w:val="14"/>
                <w:shd w:val="clear" w:color="auto" w:fill="1F3864"/>
              </w:rPr>
              <w:t xml:space="preserve"> SAÚDE SUPLEMENTAR </w:t>
            </w:r>
            <w:r>
              <w:rPr>
                <w:b/>
                <w:color w:val="556677"/>
                <w:sz w:val="15"/>
              </w:rPr>
              <w:t xml:space="preserve">  ANS · MAPA DO RESSARCIMENTO AO SUS (9ª EDIÇÃO)</w:t>
            </w:r>
          </w:p>
          <w:p>
            <w:pPr>
              <w:spacing w:before="0" w:after="20"/>
            </w:pPr>
            <w:r>
              <w:rPr>
                <w:b/>
                <w:color w:val="1F3864"/>
                <w:sz w:val="21"/>
              </w:rPr>
              <w:t>9ª edição — 08/09/2026</w:t>
            </w:r>
          </w:p>
          <w:p>
            <w:pPr>
              <w:spacing w:before="0" w:after="0"/>
            </w:pPr>
            <w:r>
              <w:rPr>
                <w:i/>
                <w:color w:val="37475A"/>
                <w:sz w:val="18"/>
              </w:rPr>
              <w:t>Uso do SUS por beneficiários de planos.</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Dados</w:t>
            </w:r>
          </w:p>
        </w:tc>
        <w:tc>
          <w:tcPr>
            <w:tcW w:type="dxa" w:w="4968"/>
            <w:tcW w:w="7632" w:type="dxa"/>
            <w:tcMar>
              <w:top w:w="50" w:type="dxa"/>
              <w:left w:w="110" w:type="dxa"/>
              <w:bottom w:w="50" w:type="dxa"/>
              <w:right w:w="100" w:type="dxa"/>
            </w:tcMar>
            <w:vAlign w:val="top"/>
          </w:tcPr>
          <w:p>
            <w:pPr>
              <w:spacing w:before="0" w:after="0"/>
              <w:jc w:val="both"/>
            </w:pPr>
            <w:r>
              <w:rPr>
                <w:sz w:val="19"/>
              </w:rPr>
              <w:t>8,88 atendimentos por mil em 2024; planos coletivos empresariais de 6,25 (2021) para 8,20 (2024).</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Fonte</w:t>
            </w:r>
          </w:p>
        </w:tc>
        <w:tc>
          <w:tcPr>
            <w:tcW w:type="dxa" w:w="4968"/>
            <w:tcW w:w="7632" w:type="dxa"/>
            <w:tcMar>
              <w:top w:w="50" w:type="dxa"/>
              <w:left w:w="110" w:type="dxa"/>
              <w:bottom w:w="50" w:type="dxa"/>
              <w:right w:w="100" w:type="dxa"/>
            </w:tcMar>
            <w:vAlign w:val="top"/>
          </w:tcPr>
          <w:p>
            <w:pPr>
              <w:spacing w:before="0" w:after="0"/>
              <w:jc w:val="both"/>
            </w:pPr>
            <w:hyperlink r:id="rId72">
              <w:r>
                <w:rPr>
                  <w:color w:val="1F4E79"/>
                  <w:u w:val="single"/>
                </w:rPr>
                <w:t xml:space="preserve">ANS — notícia</w:t>
              </w:r>
            </w:hyperlink>
          </w:p>
        </w:tc>
      </w:tr>
    </w:tbl>
    <w:p>
      <w:pPr>
        <w:spacing w:before="0" w:after="120"/>
      </w:pPr>
    </w:p>
    <w:tbl>
      <w:tblPr>
        <w:tblW w:type="auto" w:w="0"/>
        <w:jc w:val="center"/>
        <w:tblLook w:firstColumn="1" w:firstRow="1" w:lastColumn="0" w:lastRow="0" w:noHBand="0" w:noVBand="1" w:val="04A0"/>
        <w:tblBorders>
          <w:top w:val="single" w:sz="4" w:space="0" w:color="D7DDE8"/>
          <w:left w:val="single" w:sz="24" w:space="0" w:color="1F4E79"/>
          <w:bottom w:val="single" w:sz="4" w:space="0" w:color="D7DDE8"/>
          <w:right w:val="single" w:sz="4" w:space="0" w:color="D7DDE8"/>
          <w:insideH w:val="single" w:sz="4" w:space="0" w:color="D7DDE8"/>
          <w:insideV w:val="nil"/>
        </w:tblBorders>
      </w:tblPr>
      <w:tblGrid>
        <w:gridCol w:w="4968"/>
        <w:gridCol w:w="4968"/>
      </w:tblGrid>
      <w:tr>
        <w:tc>
          <w:tcPr>
            <w:tcW w:type="dxa" w:w="9936"/>
            <w:gridSpan w:val="2"/>
            <w:shd w:val="clear" w:color="auto" w:fill="F6F9FD"/>
            <w:tcMar>
              <w:top w:w="70" w:type="dxa"/>
              <w:left w:w="110" w:type="dxa"/>
              <w:bottom w:w="70" w:type="dxa"/>
              <w:right w:w="110" w:type="dxa"/>
            </w:tcMar>
          </w:tcPr>
          <w:p>
            <w:pPr>
              <w:spacing w:before="0" w:after="20"/>
            </w:pPr>
            <w:r>
              <w:rPr>
                <w:b/>
                <w:color w:val="FFFFFF"/>
                <w:sz w:val="14"/>
                <w:shd w:val="clear" w:color="auto" w:fill="1F3864"/>
              </w:rPr>
              <w:t xml:space="preserve"> SAÚDE SUPLEMENTAR </w:t>
            </w:r>
            <w:r>
              <w:rPr>
                <w:b/>
                <w:color w:val="556677"/>
                <w:sz w:val="15"/>
              </w:rPr>
              <w:t xml:space="preserve">  ANS · DIRETORIA COLEGIADA — NOVA COMPOSIÇÃO</w:t>
            </w:r>
          </w:p>
          <w:p>
            <w:pPr>
              <w:spacing w:before="0" w:after="20"/>
            </w:pPr>
            <w:r>
              <w:rPr>
                <w:b/>
                <w:color w:val="1F3864"/>
                <w:sz w:val="21"/>
              </w:rPr>
              <w:t>28/09/2026</w:t>
            </w:r>
          </w:p>
          <w:p>
            <w:pPr>
              <w:spacing w:before="0" w:after="0"/>
            </w:pPr>
            <w:r>
              <w:rPr>
                <w:i/>
                <w:color w:val="37475A"/>
                <w:sz w:val="18"/>
              </w:rPr>
              <w:t>Designações interinas (Portaria de Pessoal nº 273).</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Objeto</w:t>
            </w:r>
          </w:p>
        </w:tc>
        <w:tc>
          <w:tcPr>
            <w:tcW w:type="dxa" w:w="4968"/>
            <w:tcW w:w="7632" w:type="dxa"/>
            <w:tcMar>
              <w:top w:w="50" w:type="dxa"/>
              <w:left w:w="110" w:type="dxa"/>
              <w:bottom w:w="50" w:type="dxa"/>
              <w:right w:w="100" w:type="dxa"/>
            </w:tcMar>
            <w:vAlign w:val="top"/>
          </w:tcPr>
          <w:p>
            <w:pPr>
              <w:spacing w:before="0" w:after="0"/>
              <w:jc w:val="both"/>
            </w:pPr>
            <w:r>
              <w:rPr>
                <w:sz w:val="19"/>
              </w:rPr>
              <w:t>Designações interinas para DIOPE, DIGES e DIFIS.</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Fonte</w:t>
            </w:r>
          </w:p>
        </w:tc>
        <w:tc>
          <w:tcPr>
            <w:tcW w:type="dxa" w:w="4968"/>
            <w:tcW w:w="7632" w:type="dxa"/>
            <w:tcMar>
              <w:top w:w="50" w:type="dxa"/>
              <w:left w:w="110" w:type="dxa"/>
              <w:bottom w:w="50" w:type="dxa"/>
              <w:right w:w="100" w:type="dxa"/>
            </w:tcMar>
            <w:vAlign w:val="top"/>
          </w:tcPr>
          <w:p>
            <w:pPr>
              <w:spacing w:before="0" w:after="0"/>
              <w:jc w:val="both"/>
            </w:pPr>
            <w:hyperlink r:id="rId73">
              <w:r>
                <w:rPr>
                  <w:color w:val="1F4E79"/>
                  <w:u w:val="single"/>
                </w:rPr>
                <w:t xml:space="preserve">ANS — notícia</w:t>
              </w:r>
            </w:hyperlink>
          </w:p>
        </w:tc>
      </w:tr>
    </w:tbl>
    <w:p>
      <w:pPr>
        <w:spacing w:before="0" w:after="120"/>
      </w:pPr>
    </w:p>
    <w:p>
      <w:pPr>
        <w:spacing w:before="200" w:after="100"/>
        <w:pBdr>
          <w:bottom w:val="single" w:sz="12" w:space="4" w:color="1F4E79"/>
        </w:pBdr>
      </w:pPr>
      <w:r>
        <w:rPr>
          <w:b/>
          <w:color w:val="1F4E79"/>
          <w:sz w:val="26"/>
        </w:rPr>
        <w:t>5. Iniciativas Institucionais e Boas Práticas</w:t>
      </w:r>
    </w:p>
    <w:p>
      <w:pPr>
        <w:spacing w:before="140" w:after="80"/>
      </w:pPr>
      <w:r>
        <w:rPr>
          <w:b/>
          <w:color w:val="1F3864"/>
          <w:sz w:val="22"/>
        </w:rPr>
        <w:t>5.1 STF e CNJ</w:t>
      </w:r>
    </w:p>
    <w:tbl>
      <w:tblPr>
        <w:tblW w:type="auto" w:w="0"/>
        <w:jc w:val="center"/>
        <w:tblLook w:firstColumn="1" w:firstRow="1" w:lastColumn="0" w:lastRow="0" w:noHBand="0" w:noVBand="1" w:val="04A0"/>
        <w:tblBorders>
          <w:top w:val="single" w:sz="4" w:space="0" w:color="D7DDE8"/>
          <w:left w:val="single" w:sz="24" w:space="0" w:color="1F4E79"/>
          <w:bottom w:val="single" w:sz="4" w:space="0" w:color="D7DDE8"/>
          <w:right w:val="single" w:sz="4" w:space="0" w:color="D7DDE8"/>
          <w:insideH w:val="single" w:sz="4" w:space="0" w:color="D7DDE8"/>
          <w:insideV w:val="nil"/>
        </w:tblBorders>
      </w:tblPr>
      <w:tblGrid>
        <w:gridCol w:w="4968"/>
        <w:gridCol w:w="4968"/>
      </w:tblGrid>
      <w:tr>
        <w:tc>
          <w:tcPr>
            <w:tcW w:type="dxa" w:w="9936"/>
            <w:gridSpan w:val="2"/>
            <w:shd w:val="clear" w:color="auto" w:fill="F6F9FD"/>
            <w:tcMar>
              <w:top w:w="70" w:type="dxa"/>
              <w:left w:w="110" w:type="dxa"/>
              <w:bottom w:w="70" w:type="dxa"/>
              <w:right w:w="110" w:type="dxa"/>
            </w:tcMar>
          </w:tcPr>
          <w:p>
            <w:pPr>
              <w:spacing w:before="0" w:after="20"/>
            </w:pPr>
            <w:r>
              <w:rPr>
                <w:b/>
                <w:color w:val="1F4E79"/>
                <w:sz w:val="14"/>
                <w:shd w:val="clear" w:color="auto" w:fill="D9E2F3"/>
              </w:rPr>
              <w:t xml:space="preserve"> SUS </w:t>
            </w:r>
            <w:r>
              <w:rPr>
                <w:b/>
                <w:color w:val="FFFFFF"/>
                <w:sz w:val="14"/>
                <w:shd w:val="clear" w:color="auto" w:fill="1F3864"/>
              </w:rPr>
              <w:t xml:space="preserve"> SAÚDE SUPLEMENTAR </w:t>
            </w:r>
            <w:r>
              <w:rPr>
                <w:b/>
                <w:color w:val="556677"/>
                <w:sz w:val="15"/>
              </w:rPr>
              <w:t xml:space="preserve">  CNJ/FONAJUS · PRÊMIO JUSTIÇA E SAÚDE — 4ª EDIÇÃO</w:t>
            </w:r>
          </w:p>
          <w:p>
            <w:pPr>
              <w:spacing w:before="0" w:after="20"/>
            </w:pPr>
            <w:r>
              <w:rPr>
                <w:b/>
                <w:color w:val="1F3864"/>
                <w:sz w:val="21"/>
              </w:rPr>
              <w:t>Resultado preliminar — 25/09/2026 (Portaria CNJ nº 187/2026)</w:t>
            </w:r>
          </w:p>
          <w:p>
            <w:pPr>
              <w:spacing w:before="0" w:after="0"/>
            </w:pPr>
            <w:r>
              <w:rPr>
                <w:i/>
                <w:color w:val="37475A"/>
                <w:sz w:val="18"/>
              </w:rPr>
              <w:t>Práticas vencedoras nos Eixos I e II; recursos até 02/10/2026.</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Eixo I</w:t>
            </w:r>
          </w:p>
        </w:tc>
        <w:tc>
          <w:tcPr>
            <w:tcW w:type="dxa" w:w="4968"/>
            <w:tcW w:w="7632" w:type="dxa"/>
            <w:tcMar>
              <w:top w:w="50" w:type="dxa"/>
              <w:left w:w="110" w:type="dxa"/>
              <w:bottom w:w="50" w:type="dxa"/>
              <w:right w:w="100" w:type="dxa"/>
            </w:tcMar>
            <w:vAlign w:val="top"/>
          </w:tcPr>
          <w:p>
            <w:pPr>
              <w:spacing w:before="0" w:after="0"/>
              <w:jc w:val="both"/>
            </w:pPr>
            <w:r>
              <w:rPr>
                <w:sz w:val="19"/>
              </w:rPr>
              <w:t>Juiz: Cejusc da Saúde (TJGO); Tribunal: "Diálogos Interinstitucionais e Técnicas Estruturais na Judicialização da Saúde" (TRF4); Sistema de Justiça: Rede Justiça &amp; Saúde (OAB/DF — Águas Claras); Poder Público: Observatório Capixaba de Direito à Saúde (SES/ES); Empresas e Sociedade Civil: Ecossistema de Defesa da Ética na Saúde Suplementar (Andess).</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Eixo II</w:t>
            </w:r>
          </w:p>
        </w:tc>
        <w:tc>
          <w:tcPr>
            <w:tcW w:type="dxa" w:w="4968"/>
            <w:tcW w:w="7632" w:type="dxa"/>
            <w:tcMar>
              <w:top w:w="50" w:type="dxa"/>
              <w:left w:w="110" w:type="dxa"/>
              <w:bottom w:w="50" w:type="dxa"/>
              <w:right w:w="100" w:type="dxa"/>
            </w:tcMar>
            <w:vAlign w:val="top"/>
          </w:tcPr>
          <w:p>
            <w:pPr>
              <w:spacing w:before="0" w:after="0"/>
              <w:jc w:val="both"/>
            </w:pPr>
            <w:r>
              <w:rPr>
                <w:sz w:val="19"/>
              </w:rPr>
              <w:t>Juiz e Tribunal: TJRS ("Cumprimento de Saúde na Fazendinha" e "Orçamentos pelo PMVG"); Sistema de Justiça: "Resgatando Direitos em Saúde Mental" (DPE-MS); Poder Público: Ouvidoria do SUS de Rio Branco/AC.</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Observação</w:t>
            </w:r>
          </w:p>
        </w:tc>
        <w:tc>
          <w:tcPr>
            <w:tcW w:type="dxa" w:w="4968"/>
            <w:tcW w:w="7632" w:type="dxa"/>
            <w:tcMar>
              <w:top w:w="50" w:type="dxa"/>
              <w:left w:w="110" w:type="dxa"/>
              <w:bottom w:w="50" w:type="dxa"/>
              <w:right w:w="100" w:type="dxa"/>
            </w:tcMar>
            <w:vAlign w:val="top"/>
          </w:tcPr>
          <w:p>
            <w:pPr>
              <w:spacing w:before="0" w:after="0"/>
              <w:jc w:val="both"/>
            </w:pPr>
            <w:r>
              <w:rPr>
                <w:sz w:val="19"/>
              </w:rPr>
              <w:t>Lista final sujeita a confirmação após o julgamento dos recursos (prazo encerrado em 02/10/2026).</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Fonte</w:t>
            </w:r>
          </w:p>
        </w:tc>
        <w:tc>
          <w:tcPr>
            <w:tcW w:type="dxa" w:w="4968"/>
            <w:tcW w:w="7632" w:type="dxa"/>
            <w:tcMar>
              <w:top w:w="50" w:type="dxa"/>
              <w:left w:w="110" w:type="dxa"/>
              <w:bottom w:w="50" w:type="dxa"/>
              <w:right w:w="100" w:type="dxa"/>
            </w:tcMar>
            <w:vAlign w:val="top"/>
          </w:tcPr>
          <w:p>
            <w:pPr>
              <w:spacing w:before="0" w:after="0"/>
              <w:jc w:val="both"/>
            </w:pPr>
            <w:hyperlink r:id="rId74">
              <w:r>
                <w:rPr>
                  <w:color w:val="1F4E79"/>
                  <w:u w:val="single"/>
                </w:rPr>
                <w:t xml:space="preserve">CNJ — vencedores (4ª edição)</w:t>
              </w:r>
            </w:hyperlink>
          </w:p>
        </w:tc>
      </w:tr>
    </w:tbl>
    <w:p>
      <w:pPr>
        <w:spacing w:before="0" w:after="120"/>
      </w:pPr>
    </w:p>
    <w:tbl>
      <w:tblPr>
        <w:tblW w:type="auto" w:w="0"/>
        <w:jc w:val="center"/>
        <w:tblLook w:firstColumn="1" w:firstRow="1" w:lastColumn="0" w:lastRow="0" w:noHBand="0" w:noVBand="1" w:val="04A0"/>
        <w:tblBorders>
          <w:top w:val="single" w:sz="4" w:space="0" w:color="D7DDE8"/>
          <w:left w:val="single" w:sz="24" w:space="0" w:color="1F4E79"/>
          <w:bottom w:val="single" w:sz="4" w:space="0" w:color="D7DDE8"/>
          <w:right w:val="single" w:sz="4" w:space="0" w:color="D7DDE8"/>
          <w:insideH w:val="single" w:sz="4" w:space="0" w:color="D7DDE8"/>
          <w:insideV w:val="nil"/>
        </w:tblBorders>
      </w:tblPr>
      <w:tblGrid>
        <w:gridCol w:w="4968"/>
        <w:gridCol w:w="4968"/>
      </w:tblGrid>
      <w:tr>
        <w:tc>
          <w:tcPr>
            <w:tcW w:type="dxa" w:w="9936"/>
            <w:gridSpan w:val="2"/>
            <w:shd w:val="clear" w:color="auto" w:fill="F6F9FD"/>
            <w:tcMar>
              <w:top w:w="70" w:type="dxa"/>
              <w:left w:w="110" w:type="dxa"/>
              <w:bottom w:w="70" w:type="dxa"/>
              <w:right w:w="110" w:type="dxa"/>
            </w:tcMar>
          </w:tcPr>
          <w:p>
            <w:pPr>
              <w:spacing w:before="0" w:after="20"/>
            </w:pPr>
            <w:r>
              <w:rPr>
                <w:b/>
                <w:color w:val="1F4E79"/>
                <w:sz w:val="14"/>
                <w:shd w:val="clear" w:color="auto" w:fill="D9E2F3"/>
              </w:rPr>
              <w:t xml:space="preserve"> SUS </w:t>
            </w:r>
            <w:r>
              <w:rPr>
                <w:b/>
                <w:color w:val="FFFFFF"/>
                <w:sz w:val="14"/>
                <w:shd w:val="clear" w:color="auto" w:fill="1F3864"/>
              </w:rPr>
              <w:t xml:space="preserve"> SAÚDE SUPLEMENTAR </w:t>
            </w:r>
            <w:r>
              <w:rPr>
                <w:b/>
                <w:color w:val="556677"/>
                <w:sz w:val="15"/>
              </w:rPr>
              <w:t xml:space="preserve">  CNJ/FONAJUS · V CONGRESSO DO FONAJUS</w:t>
            </w:r>
          </w:p>
          <w:p>
            <w:pPr>
              <w:spacing w:before="0" w:after="20"/>
            </w:pPr>
            <w:r>
              <w:rPr>
                <w:b/>
                <w:color w:val="1F3864"/>
                <w:sz w:val="21"/>
              </w:rPr>
              <w:t>Anúncio 23/09/2026 — evento 5–6/11/2026 — TJRJ (Rio de Janeiro)</w:t>
            </w:r>
          </w:p>
          <w:p>
            <w:pPr>
              <w:spacing w:before="0" w:after="0"/>
            </w:pPr>
            <w:r>
              <w:rPr>
                <w:i/>
                <w:color w:val="37475A"/>
                <w:sz w:val="18"/>
              </w:rPr>
              <w:t>V Congresso do Fórum Nacional do Judiciário para a Saúde.</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Objeto</w:t>
            </w:r>
          </w:p>
        </w:tc>
        <w:tc>
          <w:tcPr>
            <w:tcW w:type="dxa" w:w="4968"/>
            <w:tcW w:w="7632" w:type="dxa"/>
            <w:tcMar>
              <w:top w:w="50" w:type="dxa"/>
              <w:left w:w="110" w:type="dxa"/>
              <w:bottom w:w="50" w:type="dxa"/>
              <w:right w:w="100" w:type="dxa"/>
            </w:tcMar>
            <w:vAlign w:val="top"/>
          </w:tcPr>
          <w:p>
            <w:pPr>
              <w:spacing w:before="0" w:after="0"/>
              <w:jc w:val="both"/>
            </w:pPr>
            <w:r>
              <w:rPr>
                <w:sz w:val="19"/>
              </w:rPr>
              <w:t>Inovação e futuro da saúde, no Tribunal de Justiça do Estado do Rio de Janeiro (TJRJ); inscrições abertas (vagas limitadas). Evento de referência para o próximo ciclo; monitorar programação.</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Fonte</w:t>
            </w:r>
          </w:p>
        </w:tc>
        <w:tc>
          <w:tcPr>
            <w:tcW w:type="dxa" w:w="4968"/>
            <w:tcW w:w="7632" w:type="dxa"/>
            <w:tcMar>
              <w:top w:w="50" w:type="dxa"/>
              <w:left w:w="110" w:type="dxa"/>
              <w:bottom w:w="50" w:type="dxa"/>
              <w:right w:w="100" w:type="dxa"/>
            </w:tcMar>
            <w:vAlign w:val="top"/>
          </w:tcPr>
          <w:p>
            <w:pPr>
              <w:spacing w:before="0" w:after="0"/>
              <w:jc w:val="both"/>
            </w:pPr>
            <w:hyperlink r:id="rId75">
              <w:r>
                <w:rPr>
                  <w:color w:val="1F4E79"/>
                  <w:u w:val="single"/>
                </w:rPr>
                <w:t xml:space="preserve">CNJ — V Congresso do Fonajus (agenda)</w:t>
              </w:r>
            </w:hyperlink>
            <w:r>
              <w:rPr>
                <w:sz w:val="19"/>
              </w:rPr>
              <w:t xml:space="preserve"> · </w:t>
            </w:r>
            <w:hyperlink r:id="rId76">
              <w:r>
                <w:rPr>
                  <w:color w:val="1F4E79"/>
                  <w:u w:val="single"/>
                </w:rPr>
                <w:t xml:space="preserve">Notícia CNJ</w:t>
              </w:r>
            </w:hyperlink>
          </w:p>
        </w:tc>
      </w:tr>
    </w:tbl>
    <w:p>
      <w:pPr>
        <w:spacing w:before="0" w:after="120"/>
      </w:pPr>
    </w:p>
    <w:p>
      <w:pPr>
        <w:spacing w:before="140" w:after="80"/>
      </w:pPr>
      <w:r>
        <w:rPr>
          <w:b/>
          <w:color w:val="1F3864"/>
          <w:sz w:val="22"/>
        </w:rPr>
        <w:t>5.2 TRFs e TJs</w:t>
      </w:r>
    </w:p>
    <w:tbl>
      <w:tblPr>
        <w:tblW w:type="auto" w:w="0"/>
        <w:jc w:val="center"/>
        <w:tblLook w:firstColumn="1" w:firstRow="1" w:lastColumn="0" w:lastRow="0" w:noHBand="0" w:noVBand="1" w:val="04A0"/>
        <w:tblBorders>
          <w:top w:val="single" w:sz="8" w:space="0" w:color="BF8F00"/>
          <w:left w:val="single" w:sz="18" w:space="0" w:color="BF8F00"/>
          <w:bottom w:val="single" w:sz="8" w:space="0" w:color="BF8F00"/>
          <w:right w:val="single" w:sz="8" w:space="0" w:color="BF8F00"/>
          <w:insideH w:val="nil"/>
          <w:insideV w:val="nil"/>
        </w:tblBorders>
      </w:tblPr>
      <w:tblGrid>
        <w:gridCol w:w="9936"/>
      </w:tblGrid>
      <w:tr>
        <w:tc>
          <w:tcPr>
            <w:tcW w:type="dxa" w:w="9936"/>
            <w:tcW w:w="9936" w:type="dxa"/>
            <w:shd w:val="clear" w:color="auto" w:fill="FFF2CB"/>
            <w:tcMar>
              <w:top w:w="90" w:type="dxa"/>
              <w:left w:w="110" w:type="dxa"/>
              <w:bottom w:w="90" w:type="dxa"/>
              <w:right w:w="110" w:type="dxa"/>
            </w:tcMar>
          </w:tcPr>
          <w:p>
            <w:pPr>
              <w:spacing w:before="0" w:after="60"/>
            </w:pPr>
            <w:r>
              <w:rPr>
                <w:b/>
                <w:color w:val="BF8F00"/>
                <w:sz w:val="17"/>
              </w:rPr>
              <w:t>CURADORIA MEDIANTE CONTRIBUIÇÃO — INICIATIVAS DE TRFS E TJS</w:t>
            </w:r>
          </w:p>
          <w:p>
            <w:pPr>
              <w:spacing w:before="0" w:after="0"/>
              <w:jc w:val="both"/>
            </w:pPr>
            <w:r>
              <w:rPr>
                <w:color w:val="1F3864"/>
                <w:sz w:val="19"/>
              </w:rPr>
              <w:t>A curadoria desta seção é realizada mediante contribuição. Encaminhe iniciativas e boas práticas de TRFs e TJs ao Grupo de Trabalho em Direito da Saúde — TRF3.</w:t>
            </w:r>
          </w:p>
        </w:tc>
      </w:tr>
    </w:tbl>
    <w:p>
      <w:pPr>
        <w:spacing w:before="0" w:after="120"/>
      </w:pPr>
    </w:p>
    <w:p>
      <w:pPr>
        <w:spacing w:before="140" w:after="80"/>
      </w:pPr>
      <w:r>
        <w:rPr>
          <w:b/>
          <w:color w:val="1F3864"/>
          <w:sz w:val="22"/>
        </w:rPr>
        <w:t>5.3 CONASS · Comitês de Saúde · Fonajus</w:t>
      </w:r>
    </w:p>
    <w:tbl>
      <w:tblPr>
        <w:tblW w:type="auto" w:w="0"/>
        <w:jc w:val="center"/>
        <w:tblLook w:firstColumn="1" w:firstRow="1" w:lastColumn="0" w:lastRow="0" w:noHBand="0" w:noVBand="1" w:val="04A0"/>
        <w:tblBorders>
          <w:top w:val="single" w:sz="4" w:space="0" w:color="D7DDE8"/>
          <w:left w:val="single" w:sz="24" w:space="0" w:color="1F4E79"/>
          <w:bottom w:val="single" w:sz="4" w:space="0" w:color="D7DDE8"/>
          <w:right w:val="single" w:sz="4" w:space="0" w:color="D7DDE8"/>
          <w:insideH w:val="single" w:sz="4" w:space="0" w:color="D7DDE8"/>
          <w:insideV w:val="nil"/>
        </w:tblBorders>
      </w:tblPr>
      <w:tblGrid>
        <w:gridCol w:w="4968"/>
        <w:gridCol w:w="4968"/>
      </w:tblGrid>
      <w:tr>
        <w:tc>
          <w:tcPr>
            <w:tcW w:type="dxa" w:w="9936"/>
            <w:gridSpan w:val="2"/>
            <w:shd w:val="clear" w:color="auto" w:fill="F6F9FD"/>
            <w:tcMar>
              <w:top w:w="70" w:type="dxa"/>
              <w:left w:w="110" w:type="dxa"/>
              <w:bottom w:w="70" w:type="dxa"/>
              <w:right w:w="110" w:type="dxa"/>
            </w:tcMar>
          </w:tcPr>
          <w:p>
            <w:pPr>
              <w:spacing w:before="0" w:after="20"/>
            </w:pPr>
            <w:r>
              <w:rPr>
                <w:b/>
                <w:color w:val="1F4E79"/>
                <w:sz w:val="14"/>
                <w:shd w:val="clear" w:color="auto" w:fill="D9E2F3"/>
              </w:rPr>
              <w:t xml:space="preserve"> SUS </w:t>
            </w:r>
            <w:r>
              <w:rPr>
                <w:b/>
                <w:color w:val="556677"/>
                <w:sz w:val="15"/>
              </w:rPr>
              <w:t xml:space="preserve">  CNJ/FONAJUS · FONAJUS ITINERANTE — RIO GRANDE DO NORTE</w:t>
            </w:r>
          </w:p>
          <w:p>
            <w:pPr>
              <w:spacing w:before="0" w:after="20"/>
            </w:pPr>
            <w:r>
              <w:rPr>
                <w:b/>
                <w:color w:val="1F3864"/>
                <w:sz w:val="21"/>
              </w:rPr>
              <w:t>16–17/09/2026</w:t>
            </w:r>
          </w:p>
          <w:p>
            <w:pPr>
              <w:spacing w:before="0" w:after="0"/>
            </w:pPr>
            <w:r>
              <w:rPr>
                <w:i/>
                <w:color w:val="37475A"/>
                <w:sz w:val="18"/>
              </w:rPr>
              <w:t>Nova edição do Fonajus Itinerante (sucede a 19ª, em Porto Velho/RO).</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Objeto</w:t>
            </w:r>
          </w:p>
        </w:tc>
        <w:tc>
          <w:tcPr>
            <w:tcW w:type="dxa" w:w="4968"/>
            <w:tcW w:w="7632" w:type="dxa"/>
            <w:tcMar>
              <w:top w:w="50" w:type="dxa"/>
              <w:left w:w="110" w:type="dxa"/>
              <w:bottom w:w="50" w:type="dxa"/>
              <w:right w:w="100" w:type="dxa"/>
            </w:tcMar>
            <w:vAlign w:val="top"/>
          </w:tcPr>
          <w:p>
            <w:pPr>
              <w:spacing w:before="0" w:after="0"/>
              <w:jc w:val="both"/>
            </w:pPr>
            <w:r>
              <w:rPr>
                <w:sz w:val="19"/>
              </w:rPr>
              <w:t>Com a conselheira Daiane Nogueira de Lira; diálogo sobre judicialização da saúde no RN.</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Fonte</w:t>
            </w:r>
          </w:p>
        </w:tc>
        <w:tc>
          <w:tcPr>
            <w:tcW w:type="dxa" w:w="4968"/>
            <w:tcW w:w="7632" w:type="dxa"/>
            <w:tcMar>
              <w:top w:w="50" w:type="dxa"/>
              <w:left w:w="110" w:type="dxa"/>
              <w:bottom w:w="50" w:type="dxa"/>
              <w:right w:w="100" w:type="dxa"/>
            </w:tcMar>
            <w:vAlign w:val="top"/>
          </w:tcPr>
          <w:p>
            <w:pPr>
              <w:spacing w:before="0" w:after="0"/>
              <w:jc w:val="both"/>
            </w:pPr>
            <w:hyperlink r:id="rId77">
              <w:r>
                <w:rPr>
                  <w:color w:val="1F4E79"/>
                  <w:u w:val="single"/>
                </w:rPr>
                <w:t xml:space="preserve">CNJ — Fonajus Itinerante (RN)</w:t>
              </w:r>
            </w:hyperlink>
          </w:p>
        </w:tc>
      </w:tr>
    </w:tbl>
    <w:p>
      <w:pPr>
        <w:spacing w:before="0" w:after="120"/>
      </w:pPr>
    </w:p>
    <w:tbl>
      <w:tblPr>
        <w:tblW w:type="auto" w:w="0"/>
        <w:jc w:val="center"/>
        <w:tblLook w:firstColumn="1" w:firstRow="1" w:lastColumn="0" w:lastRow="0" w:noHBand="0" w:noVBand="1" w:val="04A0"/>
        <w:tblBorders>
          <w:top w:val="single" w:sz="4" w:space="0" w:color="D7DDE8"/>
          <w:left w:val="single" w:sz="24" w:space="0" w:color="1F4E79"/>
          <w:bottom w:val="single" w:sz="4" w:space="0" w:color="D7DDE8"/>
          <w:right w:val="single" w:sz="4" w:space="0" w:color="D7DDE8"/>
          <w:insideH w:val="single" w:sz="4" w:space="0" w:color="D7DDE8"/>
          <w:insideV w:val="nil"/>
        </w:tblBorders>
      </w:tblPr>
      <w:tblGrid>
        <w:gridCol w:w="4968"/>
        <w:gridCol w:w="4968"/>
      </w:tblGrid>
      <w:tr>
        <w:tc>
          <w:tcPr>
            <w:tcW w:type="dxa" w:w="9936"/>
            <w:gridSpan w:val="2"/>
            <w:shd w:val="clear" w:color="auto" w:fill="F6F9FD"/>
            <w:tcMar>
              <w:top w:w="70" w:type="dxa"/>
              <w:left w:w="110" w:type="dxa"/>
              <w:bottom w:w="70" w:type="dxa"/>
              <w:right w:w="110" w:type="dxa"/>
            </w:tcMar>
          </w:tcPr>
          <w:p>
            <w:pPr>
              <w:spacing w:before="0" w:after="20"/>
            </w:pPr>
            <w:r>
              <w:rPr>
                <w:b/>
                <w:color w:val="1F4E79"/>
                <w:sz w:val="14"/>
                <w:shd w:val="clear" w:color="auto" w:fill="D9E2F3"/>
              </w:rPr>
              <w:t xml:space="preserve"> SUS </w:t>
            </w:r>
            <w:r>
              <w:rPr>
                <w:b/>
                <w:color w:val="556677"/>
                <w:sz w:val="15"/>
              </w:rPr>
              <w:t xml:space="preserve">  CONASS · PROPOSTAS PARA A SAÚDE DO BRASIL 2027–2030</w:t>
            </w:r>
          </w:p>
          <w:p>
            <w:pPr>
              <w:spacing w:before="0" w:after="20"/>
            </w:pPr>
            <w:r>
              <w:rPr>
                <w:b/>
                <w:color w:val="1F3864"/>
                <w:sz w:val="21"/>
              </w:rPr>
              <w:t>22/09/2026</w:t>
            </w:r>
          </w:p>
          <w:p>
            <w:pPr>
              <w:spacing w:before="0" w:after="0"/>
            </w:pPr>
            <w:r>
              <w:rPr>
                <w:i/>
                <w:color w:val="37475A"/>
                <w:sz w:val="18"/>
              </w:rPr>
              <w:t>Documento de propostas para o próximo ciclo de governo.</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Objeto</w:t>
            </w:r>
          </w:p>
        </w:tc>
        <w:tc>
          <w:tcPr>
            <w:tcW w:type="dxa" w:w="4968"/>
            <w:tcW w:w="7632" w:type="dxa"/>
            <w:tcMar>
              <w:top w:w="50" w:type="dxa"/>
              <w:left w:w="110" w:type="dxa"/>
              <w:bottom w:w="50" w:type="dxa"/>
              <w:right w:w="100" w:type="dxa"/>
            </w:tcMar>
            <w:vAlign w:val="top"/>
          </w:tcPr>
          <w:p>
            <w:pPr>
              <w:spacing w:before="0" w:after="0"/>
              <w:jc w:val="both"/>
            </w:pPr>
            <w:r>
              <w:rPr>
                <w:sz w:val="19"/>
              </w:rPr>
              <w:t>Propostas do CONASS; oficinas regionais da Política Nacional de Cuidados Paliativos (Sul, 17/09; Norte, 29/09).</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Fonte</w:t>
            </w:r>
          </w:p>
        </w:tc>
        <w:tc>
          <w:tcPr>
            <w:tcW w:type="dxa" w:w="4968"/>
            <w:tcW w:w="7632" w:type="dxa"/>
            <w:tcMar>
              <w:top w:w="50" w:type="dxa"/>
              <w:left w:w="110" w:type="dxa"/>
              <w:bottom w:w="50" w:type="dxa"/>
              <w:right w:w="100" w:type="dxa"/>
            </w:tcMar>
            <w:vAlign w:val="top"/>
          </w:tcPr>
          <w:p>
            <w:pPr>
              <w:spacing w:before="0" w:after="0"/>
              <w:jc w:val="both"/>
            </w:pPr>
            <w:hyperlink r:id="rId78">
              <w:r>
                <w:rPr>
                  <w:color w:val="1F4E79"/>
                  <w:u w:val="single"/>
                </w:rPr>
                <w:t xml:space="preserve">CONASS — propostas 2027–2030</w:t>
              </w:r>
            </w:hyperlink>
            <w:r>
              <w:rPr>
                <w:sz w:val="19"/>
              </w:rPr>
              <w:t xml:space="preserve"> · </w:t>
            </w:r>
            <w:hyperlink r:id="rId79">
              <w:r>
                <w:rPr>
                  <w:color w:val="1F4E79"/>
                  <w:u w:val="single"/>
                </w:rPr>
                <w:t xml:space="preserve">CONASS — cuidados paliativos</w:t>
              </w:r>
            </w:hyperlink>
          </w:p>
        </w:tc>
      </w:tr>
    </w:tbl>
    <w:p>
      <w:pPr>
        <w:spacing w:before="0" w:after="120"/>
      </w:pPr>
    </w:p>
    <w:tbl>
      <w:tblPr>
        <w:tblW w:type="auto" w:w="0"/>
        <w:jc w:val="center"/>
        <w:tblLook w:firstColumn="1" w:firstRow="1" w:lastColumn="0" w:lastRow="0" w:noHBand="0" w:noVBand="1" w:val="04A0"/>
        <w:tblBorders>
          <w:top w:val="single" w:sz="4" w:space="0" w:color="D7DDE8"/>
          <w:left w:val="single" w:sz="24" w:space="0" w:color="1F4E79"/>
          <w:bottom w:val="single" w:sz="4" w:space="0" w:color="D7DDE8"/>
          <w:right w:val="single" w:sz="4" w:space="0" w:color="D7DDE8"/>
          <w:insideH w:val="single" w:sz="4" w:space="0" w:color="D7DDE8"/>
          <w:insideV w:val="nil"/>
        </w:tblBorders>
      </w:tblPr>
      <w:tblGrid>
        <w:gridCol w:w="4968"/>
        <w:gridCol w:w="4968"/>
      </w:tblGrid>
      <w:tr>
        <w:tc>
          <w:tcPr>
            <w:tcW w:type="dxa" w:w="9936"/>
            <w:gridSpan w:val="2"/>
            <w:shd w:val="clear" w:color="auto" w:fill="F6F9FD"/>
            <w:tcMar>
              <w:top w:w="70" w:type="dxa"/>
              <w:left w:w="110" w:type="dxa"/>
              <w:bottom w:w="70" w:type="dxa"/>
              <w:right w:w="110" w:type="dxa"/>
            </w:tcMar>
          </w:tcPr>
          <w:p>
            <w:pPr>
              <w:spacing w:before="0" w:after="20"/>
            </w:pPr>
            <w:r>
              <w:rPr>
                <w:b/>
                <w:color w:val="1F4E79"/>
                <w:sz w:val="14"/>
                <w:shd w:val="clear" w:color="auto" w:fill="D9E2F3"/>
              </w:rPr>
              <w:t xml:space="preserve"> SUS </w:t>
            </w:r>
            <w:r>
              <w:rPr>
                <w:b/>
                <w:color w:val="556677"/>
                <w:sz w:val="15"/>
              </w:rPr>
              <w:t xml:space="preserve">  INSTITUTO CONSENSO · FÓRUM INTERNACIONAL</w:t>
            </w:r>
          </w:p>
          <w:p>
            <w:pPr>
              <w:spacing w:before="0" w:after="20"/>
            </w:pPr>
            <w:r>
              <w:rPr>
                <w:b/>
                <w:color w:val="1F3864"/>
                <w:sz w:val="21"/>
              </w:rPr>
              <w:t>Publicação 23/09/2026</w:t>
            </w:r>
          </w:p>
          <w:p>
            <w:pPr>
              <w:spacing w:before="0" w:after="0"/>
            </w:pPr>
            <w:r>
              <w:rPr>
                <w:i/>
                <w:color w:val="37475A"/>
                <w:sz w:val="18"/>
              </w:rPr>
              <w:t>Registro sanitário, preço e incorporação de tecnologias.</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Objeto</w:t>
            </w:r>
          </w:p>
        </w:tc>
        <w:tc>
          <w:tcPr>
            <w:tcW w:type="dxa" w:w="4968"/>
            <w:tcW w:w="7632" w:type="dxa"/>
            <w:tcMar>
              <w:top w:w="50" w:type="dxa"/>
              <w:left w:w="110" w:type="dxa"/>
              <w:bottom w:w="50" w:type="dxa"/>
              <w:right w:w="100" w:type="dxa"/>
            </w:tcMar>
            <w:vAlign w:val="top"/>
          </w:tcPr>
          <w:p>
            <w:pPr>
              <w:spacing w:before="0" w:after="0"/>
              <w:jc w:val="both"/>
            </w:pPr>
            <w:r>
              <w:rPr>
                <w:sz w:val="19"/>
              </w:rPr>
              <w:t>Integração entre registro sanitário, preço e incorporação; intervalo de 5 a 6 anos entre registro e avaliação pela CONITEC; participação do Min. Gilmar Mendes (Tema 1.234). Revista Consenso, 2ª edição (21/09).</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Fonte</w:t>
            </w:r>
          </w:p>
        </w:tc>
        <w:tc>
          <w:tcPr>
            <w:tcW w:type="dxa" w:w="4968"/>
            <w:tcW w:w="7632" w:type="dxa"/>
            <w:tcMar>
              <w:top w:w="50" w:type="dxa"/>
              <w:left w:w="110" w:type="dxa"/>
              <w:bottom w:w="50" w:type="dxa"/>
              <w:right w:w="100" w:type="dxa"/>
            </w:tcMar>
            <w:vAlign w:val="top"/>
          </w:tcPr>
          <w:p>
            <w:pPr>
              <w:spacing w:before="0" w:after="0"/>
              <w:jc w:val="both"/>
            </w:pPr>
            <w:hyperlink r:id="rId80">
              <w:r>
                <w:rPr>
                  <w:color w:val="1F4E79"/>
                  <w:u w:val="single"/>
                </w:rPr>
                <w:t xml:space="preserve">Fórum Internacional</w:t>
              </w:r>
            </w:hyperlink>
            <w:r>
              <w:rPr>
                <w:sz w:val="19"/>
              </w:rPr>
              <w:t xml:space="preserve"> · </w:t>
            </w:r>
            <w:hyperlink r:id="rId81">
              <w:r>
                <w:rPr>
                  <w:color w:val="1F4E79"/>
                  <w:u w:val="single"/>
                </w:rPr>
                <w:t xml:space="preserve">Revista Consenso (2ª ed.)</w:t>
              </w:r>
            </w:hyperlink>
          </w:p>
        </w:tc>
      </w:tr>
    </w:tbl>
    <w:p>
      <w:pPr>
        <w:spacing w:before="0" w:after="120"/>
      </w:pPr>
    </w:p>
    <w:tbl>
      <w:tblPr>
        <w:tblW w:type="auto" w:w="0"/>
        <w:jc w:val="center"/>
        <w:tblLook w:firstColumn="1" w:firstRow="1" w:lastColumn="0" w:lastRow="0" w:noHBand="0" w:noVBand="1" w:val="04A0"/>
        <w:tblBorders>
          <w:top w:val="single" w:sz="4" w:space="0" w:color="D7DDE8"/>
          <w:left w:val="single" w:sz="24" w:space="0" w:color="1F4E79"/>
          <w:bottom w:val="single" w:sz="4" w:space="0" w:color="D7DDE8"/>
          <w:right w:val="single" w:sz="4" w:space="0" w:color="D7DDE8"/>
          <w:insideH w:val="single" w:sz="4" w:space="0" w:color="D7DDE8"/>
          <w:insideV w:val="nil"/>
        </w:tblBorders>
      </w:tblPr>
      <w:tblGrid>
        <w:gridCol w:w="4968"/>
        <w:gridCol w:w="4968"/>
      </w:tblGrid>
      <w:tr>
        <w:tc>
          <w:tcPr>
            <w:tcW w:type="dxa" w:w="9936"/>
            <w:gridSpan w:val="2"/>
            <w:shd w:val="clear" w:color="auto" w:fill="F6F9FD"/>
            <w:tcMar>
              <w:top w:w="70" w:type="dxa"/>
              <w:left w:w="110" w:type="dxa"/>
              <w:bottom w:w="70" w:type="dxa"/>
              <w:right w:w="110" w:type="dxa"/>
            </w:tcMar>
          </w:tcPr>
          <w:p>
            <w:pPr>
              <w:spacing w:before="0" w:after="20"/>
            </w:pPr>
            <w:r>
              <w:rPr>
                <w:b/>
                <w:color w:val="1F4E79"/>
                <w:sz w:val="14"/>
                <w:shd w:val="clear" w:color="auto" w:fill="D9E2F3"/>
              </w:rPr>
              <w:t xml:space="preserve"> SUS </w:t>
            </w:r>
            <w:r>
              <w:rPr>
                <w:b/>
                <w:color w:val="FFFFFF"/>
                <w:sz w:val="14"/>
                <w:shd w:val="clear" w:color="auto" w:fill="1F3864"/>
              </w:rPr>
              <w:t xml:space="preserve"> SAÚDE SUPLEMENTAR </w:t>
            </w:r>
            <w:r>
              <w:rPr>
                <w:b/>
                <w:color w:val="556677"/>
                <w:sz w:val="15"/>
              </w:rPr>
              <w:t xml:space="preserve">  CFM · RESOLUÇÃO Nº 2.471/2026</w:t>
            </w:r>
          </w:p>
          <w:p>
            <w:pPr>
              <w:spacing w:before="0" w:after="20"/>
            </w:pPr>
            <w:r>
              <w:rPr>
                <w:b/>
                <w:color w:val="1F3864"/>
                <w:sz w:val="21"/>
              </w:rPr>
              <w:t>Resolução CFM nº 2.471/2026 — 21/08/2026 (DOU 17/09/2026)</w:t>
            </w:r>
          </w:p>
          <w:p>
            <w:pPr>
              <w:spacing w:before="0" w:after="0"/>
            </w:pPr>
            <w:r>
              <w:rPr>
                <w:i/>
                <w:color w:val="37475A"/>
                <w:sz w:val="18"/>
              </w:rPr>
              <w:t>Requisitos mínimos de segurança para sedação em regime ambulatorial.</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Objeto</w:t>
            </w:r>
          </w:p>
        </w:tc>
        <w:tc>
          <w:tcPr>
            <w:tcW w:type="dxa" w:w="4968"/>
            <w:tcW w:w="7632" w:type="dxa"/>
            <w:tcMar>
              <w:top w:w="50" w:type="dxa"/>
              <w:left w:w="110" w:type="dxa"/>
              <w:bottom w:w="50" w:type="dxa"/>
              <w:right w:w="100" w:type="dxa"/>
            </w:tcMar>
            <w:vAlign w:val="top"/>
          </w:tcPr>
          <w:p>
            <w:pPr>
              <w:spacing w:before="0" w:after="0"/>
              <w:jc w:val="both"/>
            </w:pPr>
            <w:r>
              <w:rPr>
                <w:sz w:val="19"/>
              </w:rPr>
              <w:t>Fixa requisitos mínimos de segurança para a sedação ambulatorial (item II das instruções do Grupo de Trabalho — Conselhos de Medicina).</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Fonte</w:t>
            </w:r>
          </w:p>
        </w:tc>
        <w:tc>
          <w:tcPr>
            <w:tcW w:type="dxa" w:w="4968"/>
            <w:tcW w:w="7632" w:type="dxa"/>
            <w:tcMar>
              <w:top w:w="50" w:type="dxa"/>
              <w:left w:w="110" w:type="dxa"/>
              <w:bottom w:w="50" w:type="dxa"/>
              <w:right w:w="100" w:type="dxa"/>
            </w:tcMar>
            <w:vAlign w:val="top"/>
          </w:tcPr>
          <w:p>
            <w:pPr>
              <w:spacing w:before="0" w:after="0"/>
              <w:jc w:val="both"/>
            </w:pPr>
            <w:hyperlink r:id="rId82">
              <w:r>
                <w:rPr>
                  <w:color w:val="1F4E79"/>
                  <w:u w:val="single"/>
                </w:rPr>
                <w:t xml:space="preserve">Resolução CFM nº 2.471/2026 (PDF)</w:t>
              </w:r>
            </w:hyperlink>
          </w:p>
        </w:tc>
      </w:tr>
    </w:tbl>
    <w:p>
      <w:pPr>
        <w:spacing w:before="0" w:after="120"/>
      </w:pPr>
    </w:p>
    <w:tbl>
      <w:tblPr>
        <w:tblW w:type="auto" w:w="0"/>
        <w:jc w:val="center"/>
        <w:tblLook w:firstColumn="1" w:firstRow="1" w:lastColumn="0" w:lastRow="0" w:noHBand="0" w:noVBand="1" w:val="04A0"/>
        <w:tblBorders>
          <w:top w:val="single" w:sz="4" w:space="0" w:color="D7DDE8"/>
          <w:left w:val="single" w:sz="24" w:space="0" w:color="1F4E79"/>
          <w:bottom w:val="single" w:sz="4" w:space="0" w:color="D7DDE8"/>
          <w:right w:val="single" w:sz="4" w:space="0" w:color="D7DDE8"/>
          <w:insideH w:val="single" w:sz="4" w:space="0" w:color="D7DDE8"/>
          <w:insideV w:val="nil"/>
        </w:tblBorders>
      </w:tblPr>
      <w:tblGrid>
        <w:gridCol w:w="4968"/>
        <w:gridCol w:w="4968"/>
      </w:tblGrid>
      <w:tr>
        <w:tc>
          <w:tcPr>
            <w:tcW w:type="dxa" w:w="9936"/>
            <w:gridSpan w:val="2"/>
            <w:shd w:val="clear" w:color="auto" w:fill="F6F9FD"/>
            <w:tcMar>
              <w:top w:w="70" w:type="dxa"/>
              <w:left w:w="110" w:type="dxa"/>
              <w:bottom w:w="70" w:type="dxa"/>
              <w:right w:w="110" w:type="dxa"/>
            </w:tcMar>
          </w:tcPr>
          <w:p>
            <w:pPr>
              <w:spacing w:before="0" w:after="20"/>
            </w:pPr>
            <w:r>
              <w:rPr>
                <w:b/>
                <w:color w:val="1F4E79"/>
                <w:sz w:val="14"/>
                <w:shd w:val="clear" w:color="auto" w:fill="D9E2F3"/>
              </w:rPr>
              <w:t xml:space="preserve"> SUS </w:t>
            </w:r>
            <w:r>
              <w:rPr>
                <w:b/>
                <w:color w:val="FFFFFF"/>
                <w:sz w:val="14"/>
                <w:shd w:val="clear" w:color="auto" w:fill="1F3864"/>
              </w:rPr>
              <w:t xml:space="preserve"> SAÚDE SUPLEMENTAR </w:t>
            </w:r>
            <w:r>
              <w:rPr>
                <w:b/>
                <w:color w:val="556677"/>
                <w:sz w:val="15"/>
              </w:rPr>
              <w:t xml:space="preserve">  CFM · RESOLUÇÕES Nº 2.469 E 2.470/2026 (REMANESCENTES DA ED. 6)</w:t>
            </w:r>
          </w:p>
          <w:p>
            <w:pPr>
              <w:spacing w:before="0" w:after="20"/>
            </w:pPr>
            <w:r>
              <w:rPr>
                <w:b/>
                <w:color w:val="1F3864"/>
                <w:sz w:val="21"/>
              </w:rPr>
              <w:t>Resoluções CFM nº 2.469/2026 (DOU 01/09) e 2.470/2026 (DOU 24/08)</w:t>
            </w:r>
          </w:p>
          <w:p>
            <w:pPr>
              <w:spacing w:before="0" w:after="0"/>
            </w:pPr>
            <w:r>
              <w:rPr>
                <w:i/>
                <w:color w:val="37475A"/>
                <w:sz w:val="18"/>
              </w:rPr>
              <w:t>Comissões de Revisão de Óbito e equipe mínima em cirurgia bariátrica.</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Objeto</w:t>
            </w:r>
          </w:p>
        </w:tc>
        <w:tc>
          <w:tcPr>
            <w:tcW w:type="dxa" w:w="4968"/>
            <w:tcW w:w="7632" w:type="dxa"/>
            <w:tcMar>
              <w:top w:w="50" w:type="dxa"/>
              <w:left w:w="110" w:type="dxa"/>
              <w:bottom w:w="50" w:type="dxa"/>
              <w:right w:w="100" w:type="dxa"/>
            </w:tcMar>
            <w:vAlign w:val="top"/>
          </w:tcPr>
          <w:p>
            <w:pPr>
              <w:spacing w:before="0" w:after="0"/>
              <w:jc w:val="both"/>
            </w:pPr>
            <w:r>
              <w:rPr>
                <w:sz w:val="19"/>
              </w:rPr>
              <w:t>Comissões de Revisão de Óbito obrigatórias em hospitais e UPAs (2.469); endocrinologista na equipe mínima da cirurgia bariátrica (2.470).</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Fonte</w:t>
            </w:r>
          </w:p>
        </w:tc>
        <w:tc>
          <w:tcPr>
            <w:tcW w:type="dxa" w:w="4968"/>
            <w:tcW w:w="7632" w:type="dxa"/>
            <w:tcMar>
              <w:top w:w="50" w:type="dxa"/>
              <w:left w:w="110" w:type="dxa"/>
              <w:bottom w:w="50" w:type="dxa"/>
              <w:right w:w="100" w:type="dxa"/>
            </w:tcMar>
            <w:vAlign w:val="top"/>
          </w:tcPr>
          <w:p>
            <w:pPr>
              <w:spacing w:before="0" w:after="0"/>
              <w:jc w:val="both"/>
            </w:pPr>
            <w:hyperlink r:id="rId83">
              <w:r>
                <w:rPr>
                  <w:color w:val="1F4E79"/>
                  <w:u w:val="single"/>
                </w:rPr>
                <w:t xml:space="preserve">Resolução nº 2.469/2026</w:t>
              </w:r>
            </w:hyperlink>
            <w:r>
              <w:rPr>
                <w:sz w:val="19"/>
              </w:rPr>
              <w:t xml:space="preserve"> · </w:t>
            </w:r>
            <w:hyperlink r:id="rId84">
              <w:r>
                <w:rPr>
                  <w:color w:val="1F4E79"/>
                  <w:u w:val="single"/>
                </w:rPr>
                <w:t xml:space="preserve">Resolução nº 2.470/2026</w:t>
              </w:r>
            </w:hyperlink>
          </w:p>
        </w:tc>
      </w:tr>
    </w:tbl>
    <w:p>
      <w:pPr>
        <w:spacing w:before="0" w:after="120"/>
      </w:pPr>
    </w:p>
    <w:p>
      <w:pPr>
        <w:spacing w:before="200" w:after="100"/>
        <w:pBdr>
          <w:bottom w:val="single" w:sz="12" w:space="4" w:color="1F4E79"/>
        </w:pBdr>
      </w:pPr>
      <w:r>
        <w:rPr>
          <w:b/>
          <w:color w:val="1F4E79"/>
          <w:sz w:val="26"/>
        </w:rPr>
        <w:t>6. ANVISA — Novos Registros e Indicações</w:t>
      </w:r>
    </w:p>
    <w:p>
      <w:pPr>
        <w:spacing w:before="100" w:after="60"/>
      </w:pPr>
      <w:r>
        <w:rPr>
          <w:b/>
          <w:color w:val="1F4E79"/>
          <w:sz w:val="20"/>
        </w:rPr>
        <w:t>Novos registros e indicações</w:t>
      </w:r>
    </w:p>
    <w:tbl>
      <w:tblPr>
        <w:tblW w:type="auto" w:w="0"/>
        <w:jc w:val="center"/>
        <w:tblLook w:firstColumn="1" w:firstRow="1" w:lastColumn="0" w:lastRow="0" w:noHBand="0" w:noVBand="1" w:val="04A0"/>
        <w:tblBorders>
          <w:top w:val="single" w:sz="4" w:space="0" w:color="D7DDE8"/>
          <w:left w:val="single" w:sz="4" w:space="0" w:color="D7DDE8"/>
          <w:bottom w:val="single" w:sz="4" w:space="0" w:color="D7DDE8"/>
          <w:right w:val="single" w:sz="4" w:space="0" w:color="D7DDE8"/>
          <w:insideH w:val="single" w:sz="4" w:space="0" w:color="D7DDE8"/>
          <w:insideV w:val="single" w:sz="4" w:space="0" w:color="D7DDE8"/>
        </w:tblBorders>
      </w:tblPr>
      <w:tblGrid>
        <w:gridCol w:w="2484"/>
        <w:gridCol w:w="2484"/>
        <w:gridCol w:w="2484"/>
        <w:gridCol w:w="2484"/>
      </w:tblGrid>
      <w:tr>
        <w:tc>
          <w:tcPr>
            <w:tcW w:type="dxa" w:w="2484"/>
            <w:shd w:val="clear" w:color="auto" w:fill="1F3864"/>
            <w:tcMar>
              <w:top w:w="50" w:type="dxa"/>
              <w:left w:w="80" w:type="dxa"/>
              <w:bottom w:w="50" w:type="dxa"/>
              <w:right w:w="80" w:type="dxa"/>
            </w:tcMar>
            <w:vAlign w:val="center"/>
          </w:tcPr>
          <w:p>
            <w:pPr>
              <w:spacing w:before="0" w:after="0"/>
            </w:pPr>
            <w:r>
              <w:rPr>
                <w:b/>
                <w:color w:val="FFFFFF"/>
                <w:sz w:val="17"/>
              </w:rPr>
              <w:t>Medicamento</w:t>
            </w:r>
          </w:p>
        </w:tc>
        <w:tc>
          <w:tcPr>
            <w:tcW w:type="dxa" w:w="2484"/>
            <w:shd w:val="clear" w:color="auto" w:fill="1F3864"/>
            <w:tcMar>
              <w:top w:w="50" w:type="dxa"/>
              <w:left w:w="80" w:type="dxa"/>
              <w:bottom w:w="50" w:type="dxa"/>
              <w:right w:w="80" w:type="dxa"/>
            </w:tcMar>
            <w:vAlign w:val="center"/>
          </w:tcPr>
          <w:p>
            <w:pPr>
              <w:spacing w:before="0" w:after="0"/>
            </w:pPr>
            <w:r>
              <w:rPr>
                <w:b/>
                <w:color w:val="FFFFFF"/>
                <w:sz w:val="17"/>
              </w:rPr>
              <w:t>Data / ato</w:t>
            </w:r>
          </w:p>
        </w:tc>
        <w:tc>
          <w:tcPr>
            <w:tcW w:type="dxa" w:w="2484"/>
            <w:shd w:val="clear" w:color="auto" w:fill="1F3864"/>
            <w:tcMar>
              <w:top w:w="50" w:type="dxa"/>
              <w:left w:w="80" w:type="dxa"/>
              <w:bottom w:w="50" w:type="dxa"/>
              <w:right w:w="80" w:type="dxa"/>
            </w:tcMar>
            <w:vAlign w:val="center"/>
          </w:tcPr>
          <w:p>
            <w:pPr>
              <w:spacing w:before="0" w:after="0"/>
            </w:pPr>
            <w:r>
              <w:rPr>
                <w:b/>
                <w:color w:val="FFFFFF"/>
                <w:sz w:val="17"/>
              </w:rPr>
              <w:t>Indicação</w:t>
            </w:r>
          </w:p>
        </w:tc>
        <w:tc>
          <w:tcPr>
            <w:tcW w:type="dxa" w:w="2484"/>
            <w:shd w:val="clear" w:color="auto" w:fill="1F3864"/>
            <w:tcMar>
              <w:top w:w="50" w:type="dxa"/>
              <w:left w:w="80" w:type="dxa"/>
              <w:bottom w:w="50" w:type="dxa"/>
              <w:right w:w="80" w:type="dxa"/>
            </w:tcMar>
            <w:vAlign w:val="center"/>
          </w:tcPr>
          <w:p>
            <w:pPr>
              <w:spacing w:before="0" w:after="0"/>
            </w:pPr>
            <w:r>
              <w:rPr>
                <w:b/>
                <w:color w:val="FFFFFF"/>
                <w:sz w:val="17"/>
              </w:rPr>
              <w:t>Fonte</w:t>
            </w:r>
          </w:p>
        </w:tc>
      </w:tr>
      <w:tr>
        <w:tc>
          <w:tcPr>
            <w:tcW w:type="dxa" w:w="2484"/>
            <w:shd w:val="clear" w:color="auto" w:fill="FFFFFF"/>
            <w:tcMar>
              <w:top w:w="40" w:type="dxa"/>
              <w:left w:w="80" w:type="dxa"/>
              <w:bottom w:w="40" w:type="dxa"/>
              <w:right w:w="80" w:type="dxa"/>
            </w:tcMar>
            <w:vAlign w:val="top"/>
          </w:tcPr>
          <w:p>
            <w:pPr>
              <w:spacing w:before="0" w:after="0"/>
            </w:pPr>
            <w:r>
              <w:rPr>
                <w:sz w:val="17"/>
              </w:rPr>
              <w:t>Etcamah® (camizestranto)</w:t>
            </w:r>
          </w:p>
        </w:tc>
        <w:tc>
          <w:tcPr>
            <w:tcW w:type="dxa" w:w="2484"/>
            <w:shd w:val="clear" w:color="auto" w:fill="FFFFFF"/>
            <w:tcMar>
              <w:top w:w="40" w:type="dxa"/>
              <w:left w:w="80" w:type="dxa"/>
              <w:bottom w:w="40" w:type="dxa"/>
              <w:right w:w="80" w:type="dxa"/>
            </w:tcMar>
            <w:vAlign w:val="top"/>
          </w:tcPr>
          <w:p>
            <w:pPr>
              <w:spacing w:before="0" w:after="0"/>
            </w:pPr>
            <w:r>
              <w:rPr>
                <w:sz w:val="17"/>
              </w:rPr>
              <w:t>21/09/2026</w:t>
            </w:r>
          </w:p>
        </w:tc>
        <w:tc>
          <w:tcPr>
            <w:tcW w:type="dxa" w:w="2484"/>
            <w:shd w:val="clear" w:color="auto" w:fill="FFFFFF"/>
            <w:tcMar>
              <w:top w:w="40" w:type="dxa"/>
              <w:left w:w="80" w:type="dxa"/>
              <w:bottom w:w="40" w:type="dxa"/>
              <w:right w:w="80" w:type="dxa"/>
            </w:tcMar>
            <w:vAlign w:val="top"/>
          </w:tcPr>
          <w:p>
            <w:pPr>
              <w:spacing w:before="0" w:after="0"/>
            </w:pPr>
            <w:r>
              <w:rPr>
                <w:sz w:val="17"/>
              </w:rPr>
              <w:t>Câncer de mama avançado RH+/HER2− com mutação ESR1 (com inibidor de CDK4/6)</w:t>
            </w:r>
          </w:p>
        </w:tc>
        <w:tc>
          <w:tcPr>
            <w:tcW w:type="dxa" w:w="2484"/>
            <w:shd w:val="clear" w:color="auto" w:fill="FFFFFF"/>
            <w:tcMar>
              <w:top w:w="40" w:type="dxa"/>
              <w:left w:w="80" w:type="dxa"/>
              <w:bottom w:w="40" w:type="dxa"/>
              <w:right w:w="80" w:type="dxa"/>
            </w:tcMar>
            <w:vAlign w:val="top"/>
          </w:tcPr>
          <w:p>
            <w:pPr>
              <w:spacing w:before="0" w:after="0"/>
            </w:pPr>
            <w:hyperlink r:id="rId85">
              <w:r>
                <w:rPr>
                  <w:color w:val="1F4E79"/>
                  <w:u w:val="single"/>
                </w:rPr>
                <w:t xml:space="preserve">ANVISA — página do medicamento</w:t>
              </w:r>
            </w:hyperlink>
          </w:p>
        </w:tc>
      </w:tr>
      <w:tr>
        <w:tc>
          <w:tcPr>
            <w:tcW w:type="dxa" w:w="2484"/>
            <w:shd w:val="clear" w:color="auto" w:fill="F6F9FD"/>
            <w:tcMar>
              <w:top w:w="40" w:type="dxa"/>
              <w:left w:w="80" w:type="dxa"/>
              <w:bottom w:w="40" w:type="dxa"/>
              <w:right w:w="80" w:type="dxa"/>
            </w:tcMar>
            <w:vAlign w:val="top"/>
          </w:tcPr>
          <w:p>
            <w:pPr>
              <w:spacing w:before="0" w:after="0"/>
            </w:pPr>
            <w:r>
              <w:rPr>
                <w:sz w:val="17"/>
              </w:rPr>
              <w:t>Yorvipath® (palopegteriparatida)</w:t>
            </w:r>
          </w:p>
        </w:tc>
        <w:tc>
          <w:tcPr>
            <w:tcW w:type="dxa" w:w="2484"/>
            <w:shd w:val="clear" w:color="auto" w:fill="F6F9FD"/>
            <w:tcMar>
              <w:top w:w="40" w:type="dxa"/>
              <w:left w:w="80" w:type="dxa"/>
              <w:bottom w:w="40" w:type="dxa"/>
              <w:right w:w="80" w:type="dxa"/>
            </w:tcMar>
            <w:vAlign w:val="top"/>
          </w:tcPr>
          <w:p>
            <w:pPr>
              <w:spacing w:before="0" w:after="0"/>
            </w:pPr>
            <w:r>
              <w:rPr>
                <w:sz w:val="17"/>
              </w:rPr>
              <w:t>22/09 · Res. 3.645/2026</w:t>
            </w:r>
          </w:p>
        </w:tc>
        <w:tc>
          <w:tcPr>
            <w:tcW w:type="dxa" w:w="2484"/>
            <w:shd w:val="clear" w:color="auto" w:fill="F6F9FD"/>
            <w:tcMar>
              <w:top w:w="40" w:type="dxa"/>
              <w:left w:w="80" w:type="dxa"/>
              <w:bottom w:w="40" w:type="dxa"/>
              <w:right w:w="80" w:type="dxa"/>
            </w:tcMar>
            <w:vAlign w:val="top"/>
          </w:tcPr>
          <w:p>
            <w:pPr>
              <w:spacing w:before="0" w:after="0"/>
            </w:pPr>
            <w:r>
              <w:rPr>
                <w:sz w:val="17"/>
              </w:rPr>
              <w:t>Hipoparatireoidismo crônico em adultos</w:t>
            </w:r>
          </w:p>
        </w:tc>
        <w:tc>
          <w:tcPr>
            <w:tcW w:type="dxa" w:w="2484"/>
            <w:shd w:val="clear" w:color="auto" w:fill="F6F9FD"/>
            <w:tcMar>
              <w:top w:w="40" w:type="dxa"/>
              <w:left w:w="80" w:type="dxa"/>
              <w:bottom w:w="40" w:type="dxa"/>
              <w:right w:w="80" w:type="dxa"/>
            </w:tcMar>
            <w:vAlign w:val="top"/>
          </w:tcPr>
          <w:p>
            <w:pPr>
              <w:spacing w:before="0" w:after="0"/>
            </w:pPr>
            <w:hyperlink r:id="rId86">
              <w:r>
                <w:rPr>
                  <w:color w:val="1F4E79"/>
                  <w:u w:val="single"/>
                </w:rPr>
                <w:t xml:space="preserve">ANVISA — página do medicamento</w:t>
              </w:r>
            </w:hyperlink>
          </w:p>
        </w:tc>
      </w:tr>
      <w:tr>
        <w:tc>
          <w:tcPr>
            <w:tcW w:type="dxa" w:w="2484"/>
            <w:shd w:val="clear" w:color="auto" w:fill="FFFFFF"/>
            <w:tcMar>
              <w:top w:w="40" w:type="dxa"/>
              <w:left w:w="80" w:type="dxa"/>
              <w:bottom w:w="40" w:type="dxa"/>
              <w:right w:w="80" w:type="dxa"/>
            </w:tcMar>
            <w:vAlign w:val="top"/>
          </w:tcPr>
          <w:p>
            <w:pPr>
              <w:spacing w:before="0" w:after="0"/>
            </w:pPr>
            <w:r>
              <w:rPr>
                <w:sz w:val="17"/>
              </w:rPr>
              <w:t>Kyinsu (insulina icodeca + semaglutida)</w:t>
            </w:r>
          </w:p>
        </w:tc>
        <w:tc>
          <w:tcPr>
            <w:tcW w:type="dxa" w:w="2484"/>
            <w:shd w:val="clear" w:color="auto" w:fill="FFFFFF"/>
            <w:tcMar>
              <w:top w:w="40" w:type="dxa"/>
              <w:left w:w="80" w:type="dxa"/>
              <w:bottom w:w="40" w:type="dxa"/>
              <w:right w:w="80" w:type="dxa"/>
            </w:tcMar>
            <w:vAlign w:val="top"/>
          </w:tcPr>
          <w:p>
            <w:pPr>
              <w:spacing w:before="0" w:after="0"/>
            </w:pPr>
            <w:r>
              <w:rPr>
                <w:sz w:val="17"/>
              </w:rPr>
              <w:t>28/09 · Res. 3.790/2026</w:t>
            </w:r>
          </w:p>
        </w:tc>
        <w:tc>
          <w:tcPr>
            <w:tcW w:type="dxa" w:w="2484"/>
            <w:shd w:val="clear" w:color="auto" w:fill="FFFFFF"/>
            <w:tcMar>
              <w:top w:w="40" w:type="dxa"/>
              <w:left w:w="80" w:type="dxa"/>
              <w:bottom w:w="40" w:type="dxa"/>
              <w:right w:w="80" w:type="dxa"/>
            </w:tcMar>
            <w:vAlign w:val="top"/>
          </w:tcPr>
          <w:p>
            <w:pPr>
              <w:spacing w:before="0" w:after="0"/>
            </w:pPr>
            <w:r>
              <w:rPr>
                <w:sz w:val="17"/>
              </w:rPr>
              <w:t>Diabetes tipo 2 (administração semanal)</w:t>
            </w:r>
          </w:p>
        </w:tc>
        <w:tc>
          <w:tcPr>
            <w:tcW w:type="dxa" w:w="2484"/>
            <w:shd w:val="clear" w:color="auto" w:fill="FFFFFF"/>
            <w:tcMar>
              <w:top w:w="40" w:type="dxa"/>
              <w:left w:w="80" w:type="dxa"/>
              <w:bottom w:w="40" w:type="dxa"/>
              <w:right w:w="80" w:type="dxa"/>
            </w:tcMar>
            <w:vAlign w:val="top"/>
          </w:tcPr>
          <w:p>
            <w:pPr>
              <w:spacing w:before="0" w:after="0"/>
            </w:pPr>
            <w:hyperlink r:id="rId87">
              <w:r>
                <w:rPr>
                  <w:color w:val="1F4E79"/>
                  <w:u w:val="single"/>
                </w:rPr>
                <w:t xml:space="preserve">ANVISA — página do medicamento</w:t>
              </w:r>
            </w:hyperlink>
          </w:p>
        </w:tc>
      </w:tr>
      <w:tr>
        <w:tc>
          <w:tcPr>
            <w:tcW w:type="dxa" w:w="2484"/>
            <w:shd w:val="clear" w:color="auto" w:fill="F6F9FD"/>
            <w:tcMar>
              <w:top w:w="40" w:type="dxa"/>
              <w:left w:w="80" w:type="dxa"/>
              <w:bottom w:w="40" w:type="dxa"/>
              <w:right w:w="80" w:type="dxa"/>
            </w:tcMar>
            <w:vAlign w:val="top"/>
          </w:tcPr>
          <w:p>
            <w:pPr>
              <w:spacing w:before="0" w:after="0"/>
            </w:pPr>
            <w:r>
              <w:rPr>
                <w:sz w:val="17"/>
              </w:rPr>
              <w:t>Capvaxive (vacina pneumocócica 21-valente)</w:t>
            </w:r>
          </w:p>
        </w:tc>
        <w:tc>
          <w:tcPr>
            <w:tcW w:type="dxa" w:w="2484"/>
            <w:shd w:val="clear" w:color="auto" w:fill="F6F9FD"/>
            <w:tcMar>
              <w:top w:w="40" w:type="dxa"/>
              <w:left w:w="80" w:type="dxa"/>
              <w:bottom w:w="40" w:type="dxa"/>
              <w:right w:w="80" w:type="dxa"/>
            </w:tcMar>
            <w:vAlign w:val="top"/>
          </w:tcPr>
          <w:p>
            <w:pPr>
              <w:spacing w:before="0" w:after="0"/>
            </w:pPr>
            <w:r>
              <w:rPr>
                <w:sz w:val="17"/>
              </w:rPr>
              <w:t>28/09 · Res. 3.790/2026</w:t>
            </w:r>
          </w:p>
        </w:tc>
        <w:tc>
          <w:tcPr>
            <w:tcW w:type="dxa" w:w="2484"/>
            <w:shd w:val="clear" w:color="auto" w:fill="F6F9FD"/>
            <w:tcMar>
              <w:top w:w="40" w:type="dxa"/>
              <w:left w:w="80" w:type="dxa"/>
              <w:bottom w:w="40" w:type="dxa"/>
              <w:right w:w="80" w:type="dxa"/>
            </w:tcMar>
            <w:vAlign w:val="top"/>
          </w:tcPr>
          <w:p>
            <w:pPr>
              <w:spacing w:before="0" w:after="0"/>
            </w:pPr>
            <w:r>
              <w:rPr>
                <w:sz w:val="17"/>
              </w:rPr>
              <w:t>Doença invasiva e pneumonia pneumocócica em adultos ≥ 18 anos</w:t>
            </w:r>
          </w:p>
        </w:tc>
        <w:tc>
          <w:tcPr>
            <w:tcW w:type="dxa" w:w="2484"/>
            <w:shd w:val="clear" w:color="auto" w:fill="F6F9FD"/>
            <w:tcMar>
              <w:top w:w="40" w:type="dxa"/>
              <w:left w:w="80" w:type="dxa"/>
              <w:bottom w:w="40" w:type="dxa"/>
              <w:right w:w="80" w:type="dxa"/>
            </w:tcMar>
            <w:vAlign w:val="top"/>
          </w:tcPr>
          <w:p>
            <w:pPr>
              <w:spacing w:before="0" w:after="0"/>
            </w:pPr>
            <w:hyperlink r:id="rId88">
              <w:r>
                <w:rPr>
                  <w:color w:val="1F4E79"/>
                  <w:u w:val="single"/>
                </w:rPr>
                <w:t xml:space="preserve">ANVISA — página do medicamento</w:t>
              </w:r>
            </w:hyperlink>
          </w:p>
        </w:tc>
      </w:tr>
      <w:tr>
        <w:tc>
          <w:tcPr>
            <w:tcW w:type="dxa" w:w="2484"/>
            <w:shd w:val="clear" w:color="auto" w:fill="FFFFFF"/>
            <w:tcMar>
              <w:top w:w="40" w:type="dxa"/>
              <w:left w:w="80" w:type="dxa"/>
              <w:bottom w:w="40" w:type="dxa"/>
              <w:right w:w="80" w:type="dxa"/>
            </w:tcMar>
            <w:vAlign w:val="top"/>
          </w:tcPr>
          <w:p>
            <w:pPr>
              <w:spacing w:before="0" w:after="0"/>
            </w:pPr>
            <w:r>
              <w:rPr>
                <w:sz w:val="17"/>
              </w:rPr>
              <w:t>Trodelvy® (sacituzumabe govitecana)</w:t>
            </w:r>
          </w:p>
        </w:tc>
        <w:tc>
          <w:tcPr>
            <w:tcW w:type="dxa" w:w="2484"/>
            <w:shd w:val="clear" w:color="auto" w:fill="FFFFFF"/>
            <w:tcMar>
              <w:top w:w="40" w:type="dxa"/>
              <w:left w:w="80" w:type="dxa"/>
              <w:bottom w:w="40" w:type="dxa"/>
              <w:right w:w="80" w:type="dxa"/>
            </w:tcMar>
            <w:vAlign w:val="top"/>
          </w:tcPr>
          <w:p>
            <w:pPr>
              <w:spacing w:before="0" w:after="0"/>
            </w:pPr>
            <w:r>
              <w:rPr>
                <w:sz w:val="17"/>
              </w:rPr>
              <w:t>09/09 · Res. 3.448/2026</w:t>
            </w:r>
          </w:p>
        </w:tc>
        <w:tc>
          <w:tcPr>
            <w:tcW w:type="dxa" w:w="2484"/>
            <w:shd w:val="clear" w:color="auto" w:fill="FFFFFF"/>
            <w:tcMar>
              <w:top w:w="40" w:type="dxa"/>
              <w:left w:w="80" w:type="dxa"/>
              <w:bottom w:w="40" w:type="dxa"/>
              <w:right w:w="80" w:type="dxa"/>
            </w:tcMar>
            <w:vAlign w:val="top"/>
          </w:tcPr>
          <w:p>
            <w:pPr>
              <w:spacing w:before="0" w:after="0"/>
            </w:pPr>
            <w:r>
              <w:rPr>
                <w:sz w:val="17"/>
              </w:rPr>
              <w:t>Novas indicações: 1ª linha de câncer de mama triplo-negativo</w:t>
            </w:r>
          </w:p>
        </w:tc>
        <w:tc>
          <w:tcPr>
            <w:tcW w:type="dxa" w:w="2484"/>
            <w:shd w:val="clear" w:color="auto" w:fill="FFFFFF"/>
            <w:tcMar>
              <w:top w:w="40" w:type="dxa"/>
              <w:left w:w="80" w:type="dxa"/>
              <w:bottom w:w="40" w:type="dxa"/>
              <w:right w:w="80" w:type="dxa"/>
            </w:tcMar>
            <w:vAlign w:val="top"/>
          </w:tcPr>
          <w:p>
            <w:pPr>
              <w:spacing w:before="0" w:after="0"/>
            </w:pPr>
            <w:hyperlink r:id="rId89">
              <w:r>
                <w:rPr>
                  <w:color w:val="1F4E79"/>
                  <w:u w:val="single"/>
                </w:rPr>
                <w:t xml:space="preserve">ANVISA — notícia</w:t>
              </w:r>
            </w:hyperlink>
          </w:p>
        </w:tc>
      </w:tr>
      <w:tr>
        <w:tc>
          <w:tcPr>
            <w:tcW w:type="dxa" w:w="2484"/>
            <w:shd w:val="clear" w:color="auto" w:fill="F6F9FD"/>
            <w:tcMar>
              <w:top w:w="40" w:type="dxa"/>
              <w:left w:w="80" w:type="dxa"/>
              <w:bottom w:w="40" w:type="dxa"/>
              <w:right w:w="80" w:type="dxa"/>
            </w:tcMar>
            <w:vAlign w:val="top"/>
          </w:tcPr>
          <w:p>
            <w:pPr>
              <w:spacing w:before="0" w:after="0"/>
            </w:pPr>
            <w:r>
              <w:rPr>
                <w:sz w:val="17"/>
              </w:rPr>
              <w:t>Voraxaze (glucarpidase)</w:t>
            </w:r>
          </w:p>
        </w:tc>
        <w:tc>
          <w:tcPr>
            <w:tcW w:type="dxa" w:w="2484"/>
            <w:shd w:val="clear" w:color="auto" w:fill="F6F9FD"/>
            <w:tcMar>
              <w:top w:w="40" w:type="dxa"/>
              <w:left w:w="80" w:type="dxa"/>
              <w:bottom w:w="40" w:type="dxa"/>
              <w:right w:w="80" w:type="dxa"/>
            </w:tcMar>
            <w:vAlign w:val="top"/>
          </w:tcPr>
          <w:p>
            <w:pPr>
              <w:spacing w:before="0" w:after="0"/>
            </w:pPr>
            <w:r>
              <w:rPr>
                <w:sz w:val="17"/>
              </w:rPr>
              <w:t>08/09 · Res. 3.448/2026</w:t>
            </w:r>
          </w:p>
        </w:tc>
        <w:tc>
          <w:tcPr>
            <w:tcW w:type="dxa" w:w="2484"/>
            <w:shd w:val="clear" w:color="auto" w:fill="F6F9FD"/>
            <w:tcMar>
              <w:top w:w="40" w:type="dxa"/>
              <w:left w:w="80" w:type="dxa"/>
              <w:bottom w:w="40" w:type="dxa"/>
              <w:right w:w="80" w:type="dxa"/>
            </w:tcMar>
            <w:vAlign w:val="top"/>
          </w:tcPr>
          <w:p>
            <w:pPr>
              <w:spacing w:before="0" w:after="0"/>
            </w:pPr>
            <w:r>
              <w:rPr>
                <w:sz w:val="17"/>
              </w:rPr>
              <w:t>Toxicidade por metotrexato; uso pediátrico &gt; 28 dias</w:t>
            </w:r>
          </w:p>
        </w:tc>
        <w:tc>
          <w:tcPr>
            <w:tcW w:type="dxa" w:w="2484"/>
            <w:shd w:val="clear" w:color="auto" w:fill="F6F9FD"/>
            <w:tcMar>
              <w:top w:w="40" w:type="dxa"/>
              <w:left w:w="80" w:type="dxa"/>
              <w:bottom w:w="40" w:type="dxa"/>
              <w:right w:w="80" w:type="dxa"/>
            </w:tcMar>
            <w:vAlign w:val="top"/>
          </w:tcPr>
          <w:p>
            <w:pPr>
              <w:spacing w:before="0" w:after="0"/>
            </w:pPr>
            <w:hyperlink r:id="rId90">
              <w:r>
                <w:rPr>
                  <w:color w:val="1F4E79"/>
                  <w:u w:val="single"/>
                </w:rPr>
                <w:t xml:space="preserve">ANVISA — notícia</w:t>
              </w:r>
            </w:hyperlink>
          </w:p>
        </w:tc>
      </w:tr>
      <w:tr>
        <w:tc>
          <w:tcPr>
            <w:tcW w:type="dxa" w:w="2484"/>
            <w:shd w:val="clear" w:color="auto" w:fill="FFFFFF"/>
            <w:tcMar>
              <w:top w:w="40" w:type="dxa"/>
              <w:left w:w="80" w:type="dxa"/>
              <w:bottom w:w="40" w:type="dxa"/>
              <w:right w:w="80" w:type="dxa"/>
            </w:tcMar>
            <w:vAlign w:val="top"/>
          </w:tcPr>
          <w:p>
            <w:pPr>
              <w:spacing w:before="0" w:after="0"/>
            </w:pPr>
            <w:r>
              <w:rPr>
                <w:sz w:val="17"/>
              </w:rPr>
              <w:t>Aquipta (atogepanto)</w:t>
            </w:r>
          </w:p>
        </w:tc>
        <w:tc>
          <w:tcPr>
            <w:tcW w:type="dxa" w:w="2484"/>
            <w:shd w:val="clear" w:color="auto" w:fill="FFFFFF"/>
            <w:tcMar>
              <w:top w:w="40" w:type="dxa"/>
              <w:left w:w="80" w:type="dxa"/>
              <w:bottom w:w="40" w:type="dxa"/>
              <w:right w:w="80" w:type="dxa"/>
            </w:tcMar>
            <w:vAlign w:val="top"/>
          </w:tcPr>
          <w:p>
            <w:pPr>
              <w:spacing w:before="0" w:after="0"/>
            </w:pPr>
            <w:r>
              <w:rPr>
                <w:sz w:val="17"/>
              </w:rPr>
              <w:t>08/09 · Res. 3.458/2026</w:t>
            </w:r>
          </w:p>
        </w:tc>
        <w:tc>
          <w:tcPr>
            <w:tcW w:type="dxa" w:w="2484"/>
            <w:shd w:val="clear" w:color="auto" w:fill="FFFFFF"/>
            <w:tcMar>
              <w:top w:w="40" w:type="dxa"/>
              <w:left w:w="80" w:type="dxa"/>
              <w:bottom w:w="40" w:type="dxa"/>
              <w:right w:w="80" w:type="dxa"/>
            </w:tcMar>
            <w:vAlign w:val="top"/>
          </w:tcPr>
          <w:p>
            <w:pPr>
              <w:spacing w:before="0" w:after="0"/>
            </w:pPr>
            <w:r>
              <w:rPr>
                <w:sz w:val="17"/>
              </w:rPr>
              <w:t>Prevenção de enxaqueca episódica e crônica</w:t>
            </w:r>
          </w:p>
        </w:tc>
        <w:tc>
          <w:tcPr>
            <w:tcW w:type="dxa" w:w="2484"/>
            <w:shd w:val="clear" w:color="auto" w:fill="FFFFFF"/>
            <w:tcMar>
              <w:top w:w="40" w:type="dxa"/>
              <w:left w:w="80" w:type="dxa"/>
              <w:bottom w:w="40" w:type="dxa"/>
              <w:right w:w="80" w:type="dxa"/>
            </w:tcMar>
            <w:vAlign w:val="top"/>
          </w:tcPr>
          <w:p>
            <w:pPr>
              <w:spacing w:before="0" w:after="0"/>
            </w:pPr>
            <w:hyperlink r:id="rId91">
              <w:r>
                <w:rPr>
                  <w:color w:val="1F4E79"/>
                  <w:u w:val="single"/>
                </w:rPr>
                <w:t xml:space="preserve">ANVISA — notícia</w:t>
              </w:r>
            </w:hyperlink>
          </w:p>
        </w:tc>
      </w:tr>
      <w:tr>
        <w:tc>
          <w:tcPr>
            <w:tcW w:type="dxa" w:w="2484"/>
            <w:shd w:val="clear" w:color="auto" w:fill="F6F9FD"/>
            <w:tcMar>
              <w:top w:w="40" w:type="dxa"/>
              <w:left w:w="80" w:type="dxa"/>
              <w:bottom w:w="40" w:type="dxa"/>
              <w:right w:w="80" w:type="dxa"/>
            </w:tcMar>
            <w:vAlign w:val="top"/>
          </w:tcPr>
          <w:p>
            <w:pPr>
              <w:spacing w:before="0" w:after="0"/>
            </w:pPr>
            <w:r>
              <w:rPr>
                <w:sz w:val="17"/>
              </w:rPr>
              <w:t>Liraglutida (2 genéricos)</w:t>
            </w:r>
          </w:p>
        </w:tc>
        <w:tc>
          <w:tcPr>
            <w:tcW w:type="dxa" w:w="2484"/>
            <w:shd w:val="clear" w:color="auto" w:fill="F6F9FD"/>
            <w:tcMar>
              <w:top w:w="40" w:type="dxa"/>
              <w:left w:w="80" w:type="dxa"/>
              <w:bottom w:w="40" w:type="dxa"/>
              <w:right w:w="80" w:type="dxa"/>
            </w:tcMar>
            <w:vAlign w:val="top"/>
          </w:tcPr>
          <w:p>
            <w:pPr>
              <w:spacing w:before="0" w:after="0"/>
            </w:pPr>
            <w:r>
              <w:rPr>
                <w:sz w:val="17"/>
              </w:rPr>
              <w:t>08/09 · Res. 3.458/2026</w:t>
            </w:r>
          </w:p>
        </w:tc>
        <w:tc>
          <w:tcPr>
            <w:tcW w:type="dxa" w:w="2484"/>
            <w:shd w:val="clear" w:color="auto" w:fill="F6F9FD"/>
            <w:tcMar>
              <w:top w:w="40" w:type="dxa"/>
              <w:left w:w="80" w:type="dxa"/>
              <w:bottom w:w="40" w:type="dxa"/>
              <w:right w:w="80" w:type="dxa"/>
            </w:tcMar>
            <w:vAlign w:val="top"/>
          </w:tcPr>
          <w:p>
            <w:pPr>
              <w:spacing w:before="0" w:after="0"/>
            </w:pPr>
            <w:r>
              <w:rPr>
                <w:sz w:val="17"/>
              </w:rPr>
              <w:t>Genéricos de Olire (obesidade) e Lirux (diabetes tipo 2)</w:t>
            </w:r>
          </w:p>
        </w:tc>
        <w:tc>
          <w:tcPr>
            <w:tcW w:type="dxa" w:w="2484"/>
            <w:shd w:val="clear" w:color="auto" w:fill="F6F9FD"/>
            <w:tcMar>
              <w:top w:w="40" w:type="dxa"/>
              <w:left w:w="80" w:type="dxa"/>
              <w:bottom w:w="40" w:type="dxa"/>
              <w:right w:w="80" w:type="dxa"/>
            </w:tcMar>
            <w:vAlign w:val="top"/>
          </w:tcPr>
          <w:p>
            <w:pPr>
              <w:spacing w:before="0" w:after="0"/>
            </w:pPr>
            <w:hyperlink r:id="rId92">
              <w:r>
                <w:rPr>
                  <w:color w:val="1F4E79"/>
                  <w:u w:val="single"/>
                </w:rPr>
                <w:t xml:space="preserve">ANVISA — notícia</w:t>
              </w:r>
            </w:hyperlink>
          </w:p>
        </w:tc>
      </w:tr>
      <w:tr>
        <w:tc>
          <w:tcPr>
            <w:tcW w:type="dxa" w:w="2484"/>
            <w:shd w:val="clear" w:color="auto" w:fill="FFFFFF"/>
            <w:tcMar>
              <w:top w:w="40" w:type="dxa"/>
              <w:left w:w="80" w:type="dxa"/>
              <w:bottom w:w="40" w:type="dxa"/>
              <w:right w:w="80" w:type="dxa"/>
            </w:tcMar>
            <w:vAlign w:val="top"/>
          </w:tcPr>
          <w:p>
            <w:pPr>
              <w:spacing w:before="0" w:after="0"/>
            </w:pPr>
            <w:r>
              <w:rPr>
                <w:sz w:val="17"/>
              </w:rPr>
              <w:t>MenQuadfi (meningocócica ACWY)</w:t>
            </w:r>
          </w:p>
        </w:tc>
        <w:tc>
          <w:tcPr>
            <w:tcW w:type="dxa" w:w="2484"/>
            <w:shd w:val="clear" w:color="auto" w:fill="FFFFFF"/>
            <w:tcMar>
              <w:top w:w="40" w:type="dxa"/>
              <w:left w:w="80" w:type="dxa"/>
              <w:bottom w:w="40" w:type="dxa"/>
              <w:right w:w="80" w:type="dxa"/>
            </w:tcMar>
            <w:vAlign w:val="top"/>
          </w:tcPr>
          <w:p>
            <w:pPr>
              <w:spacing w:before="0" w:after="0"/>
            </w:pPr>
            <w:r>
              <w:rPr>
                <w:sz w:val="17"/>
              </w:rPr>
              <w:t>08/09 · Res. 3.448/2026</w:t>
            </w:r>
          </w:p>
        </w:tc>
        <w:tc>
          <w:tcPr>
            <w:tcW w:type="dxa" w:w="2484"/>
            <w:shd w:val="clear" w:color="auto" w:fill="FFFFFF"/>
            <w:tcMar>
              <w:top w:w="40" w:type="dxa"/>
              <w:left w:w="80" w:type="dxa"/>
              <w:bottom w:w="40" w:type="dxa"/>
              <w:right w:w="80" w:type="dxa"/>
            </w:tcMar>
            <w:vAlign w:val="top"/>
          </w:tcPr>
          <w:p>
            <w:pPr>
              <w:spacing w:before="0" w:after="0"/>
            </w:pPr>
            <w:r>
              <w:rPr>
                <w:sz w:val="17"/>
              </w:rPr>
              <w:t>Ampliação de uso a partir de 6 semanas de idade</w:t>
            </w:r>
          </w:p>
        </w:tc>
        <w:tc>
          <w:tcPr>
            <w:tcW w:type="dxa" w:w="2484"/>
            <w:shd w:val="clear" w:color="auto" w:fill="FFFFFF"/>
            <w:tcMar>
              <w:top w:w="40" w:type="dxa"/>
              <w:left w:w="80" w:type="dxa"/>
              <w:bottom w:w="40" w:type="dxa"/>
              <w:right w:w="80" w:type="dxa"/>
            </w:tcMar>
            <w:vAlign w:val="top"/>
          </w:tcPr>
          <w:p>
            <w:pPr>
              <w:spacing w:before="0" w:after="0"/>
            </w:pPr>
            <w:hyperlink r:id="rId93">
              <w:r>
                <w:rPr>
                  <w:color w:val="1F4E79"/>
                  <w:u w:val="single"/>
                </w:rPr>
                <w:t xml:space="preserve">ANVISA — notícia</w:t>
              </w:r>
            </w:hyperlink>
          </w:p>
        </w:tc>
      </w:tr>
    </w:tbl>
    <w:p>
      <w:pPr>
        <w:spacing w:before="0" w:after="120"/>
      </w:pPr>
    </w:p>
    <w:p>
      <w:pPr>
        <w:spacing w:before="100" w:after="60"/>
      </w:pPr>
      <w:r>
        <w:rPr>
          <w:b/>
          <w:color w:val="1F4E79"/>
          <w:sz w:val="20"/>
        </w:rPr>
        <w:t>Medidas sanitárias e regulatórias</w:t>
      </w:r>
    </w:p>
    <w:tbl>
      <w:tblPr>
        <w:tblW w:type="auto" w:w="0"/>
        <w:jc w:val="center"/>
        <w:tblLook w:firstColumn="1" w:firstRow="1" w:lastColumn="0" w:lastRow="0" w:noHBand="0" w:noVBand="1" w:val="04A0"/>
        <w:tblBorders>
          <w:top w:val="single" w:sz="4" w:space="0" w:color="D7DDE8"/>
          <w:left w:val="single" w:sz="24" w:space="0" w:color="1F4E79"/>
          <w:bottom w:val="single" w:sz="4" w:space="0" w:color="D7DDE8"/>
          <w:right w:val="single" w:sz="4" w:space="0" w:color="D7DDE8"/>
          <w:insideH w:val="single" w:sz="4" w:space="0" w:color="D7DDE8"/>
          <w:insideV w:val="nil"/>
        </w:tblBorders>
      </w:tblPr>
      <w:tblGrid>
        <w:gridCol w:w="4968"/>
        <w:gridCol w:w="4968"/>
      </w:tblGrid>
      <w:tr>
        <w:tc>
          <w:tcPr>
            <w:tcW w:type="dxa" w:w="9936"/>
            <w:gridSpan w:val="2"/>
            <w:shd w:val="clear" w:color="auto" w:fill="F6F9FD"/>
            <w:tcMar>
              <w:top w:w="70" w:type="dxa"/>
              <w:left w:w="110" w:type="dxa"/>
              <w:bottom w:w="70" w:type="dxa"/>
              <w:right w:w="110" w:type="dxa"/>
            </w:tcMar>
          </w:tcPr>
          <w:p>
            <w:pPr>
              <w:spacing w:before="0" w:after="20"/>
            </w:pPr>
            <w:r>
              <w:rPr>
                <w:b/>
                <w:color w:val="1F4E79"/>
                <w:sz w:val="14"/>
                <w:shd w:val="clear" w:color="auto" w:fill="D9E2F3"/>
              </w:rPr>
              <w:t xml:space="preserve"> SUS </w:t>
            </w:r>
            <w:r>
              <w:rPr>
                <w:b/>
                <w:color w:val="556677"/>
                <w:sz w:val="15"/>
              </w:rPr>
              <w:t xml:space="preserve">  ANVISA · OCREVUS® — LOTES IRREGULARES</w:t>
            </w:r>
          </w:p>
          <w:p>
            <w:pPr>
              <w:spacing w:before="0" w:after="20"/>
            </w:pPr>
            <w:r>
              <w:rPr>
                <w:b/>
                <w:color w:val="1F3864"/>
                <w:sz w:val="21"/>
              </w:rPr>
              <w:t>25/09/2026 · Res. 3.751/2026</w:t>
            </w:r>
          </w:p>
          <w:p>
            <w:pPr>
              <w:spacing w:before="0" w:after="0"/>
            </w:pPr>
            <w:r>
              <w:rPr>
                <w:i/>
                <w:color w:val="37475A"/>
                <w:sz w:val="18"/>
              </w:rPr>
              <w:t>Apreensão de lotes de ocrelizumabe 300 mg.</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Objeto</w:t>
            </w:r>
          </w:p>
        </w:tc>
        <w:tc>
          <w:tcPr>
            <w:tcW w:type="dxa" w:w="4968"/>
            <w:tcW w:w="7632" w:type="dxa"/>
            <w:tcMar>
              <w:top w:w="50" w:type="dxa"/>
              <w:left w:w="110" w:type="dxa"/>
              <w:bottom w:w="50" w:type="dxa"/>
              <w:right w:w="100" w:type="dxa"/>
            </w:tcMar>
            <w:vAlign w:val="top"/>
          </w:tcPr>
          <w:p>
            <w:pPr>
              <w:spacing w:before="0" w:after="0"/>
              <w:jc w:val="both"/>
            </w:pPr>
            <w:r>
              <w:rPr>
                <w:sz w:val="19"/>
              </w:rPr>
              <w:t>Apreensão de dois lotes distribuídos por empresa sem AFE ativa. Interface com cumprimento de decisões judiciais (aquisição/dispensação).</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Fonte</w:t>
            </w:r>
          </w:p>
        </w:tc>
        <w:tc>
          <w:tcPr>
            <w:tcW w:type="dxa" w:w="4968"/>
            <w:tcW w:w="7632" w:type="dxa"/>
            <w:tcMar>
              <w:top w:w="50" w:type="dxa"/>
              <w:left w:w="110" w:type="dxa"/>
              <w:bottom w:w="50" w:type="dxa"/>
              <w:right w:w="100" w:type="dxa"/>
            </w:tcMar>
            <w:vAlign w:val="top"/>
          </w:tcPr>
          <w:p>
            <w:pPr>
              <w:spacing w:before="0" w:after="0"/>
              <w:jc w:val="both"/>
            </w:pPr>
            <w:hyperlink r:id="rId94">
              <w:r>
                <w:rPr>
                  <w:color w:val="1F4E79"/>
                  <w:u w:val="single"/>
                </w:rPr>
                <w:t xml:space="preserve">ANVISA — notícia</w:t>
              </w:r>
            </w:hyperlink>
          </w:p>
        </w:tc>
      </w:tr>
    </w:tbl>
    <w:p>
      <w:pPr>
        <w:spacing w:before="0" w:after="120"/>
      </w:pPr>
    </w:p>
    <w:tbl>
      <w:tblPr>
        <w:tblW w:type="auto" w:w="0"/>
        <w:jc w:val="center"/>
        <w:tblLook w:firstColumn="1" w:firstRow="1" w:lastColumn="0" w:lastRow="0" w:noHBand="0" w:noVBand="1" w:val="04A0"/>
        <w:tblBorders>
          <w:top w:val="single" w:sz="4" w:space="0" w:color="D7DDE8"/>
          <w:left w:val="single" w:sz="24" w:space="0" w:color="1F4E79"/>
          <w:bottom w:val="single" w:sz="4" w:space="0" w:color="D7DDE8"/>
          <w:right w:val="single" w:sz="4" w:space="0" w:color="D7DDE8"/>
          <w:insideH w:val="single" w:sz="4" w:space="0" w:color="D7DDE8"/>
          <w:insideV w:val="nil"/>
        </w:tblBorders>
      </w:tblPr>
      <w:tblGrid>
        <w:gridCol w:w="4968"/>
        <w:gridCol w:w="4968"/>
      </w:tblGrid>
      <w:tr>
        <w:tc>
          <w:tcPr>
            <w:tcW w:type="dxa" w:w="9936"/>
            <w:gridSpan w:val="2"/>
            <w:shd w:val="clear" w:color="auto" w:fill="F6F9FD"/>
            <w:tcMar>
              <w:top w:w="70" w:type="dxa"/>
              <w:left w:w="110" w:type="dxa"/>
              <w:bottom w:w="70" w:type="dxa"/>
              <w:right w:w="110" w:type="dxa"/>
            </w:tcMar>
          </w:tcPr>
          <w:p>
            <w:pPr>
              <w:spacing w:before="0" w:after="20"/>
            </w:pPr>
            <w:r>
              <w:rPr>
                <w:b/>
                <w:color w:val="1F4E79"/>
                <w:sz w:val="14"/>
                <w:shd w:val="clear" w:color="auto" w:fill="D9E2F3"/>
              </w:rPr>
              <w:t xml:space="preserve"> SUS </w:t>
            </w:r>
            <w:r>
              <w:rPr>
                <w:b/>
                <w:color w:val="556677"/>
                <w:sz w:val="15"/>
              </w:rPr>
              <w:t xml:space="preserve">  ANVISA · SNCR — NOVA ETAPA</w:t>
            </w:r>
          </w:p>
          <w:p>
            <w:pPr>
              <w:spacing w:before="0" w:after="20"/>
            </w:pPr>
            <w:r>
              <w:rPr>
                <w:b/>
                <w:color w:val="1F3864"/>
                <w:sz w:val="21"/>
              </w:rPr>
              <w:t>A partir de 30/09/2026</w:t>
            </w:r>
          </w:p>
          <w:p>
            <w:pPr>
              <w:spacing w:before="0" w:after="0"/>
            </w:pPr>
            <w:r>
              <w:rPr>
                <w:i/>
                <w:color w:val="37475A"/>
                <w:sz w:val="18"/>
              </w:rPr>
              <w:t>Sistema Nacional de Controle de Receituários.</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Objeto</w:t>
            </w:r>
          </w:p>
        </w:tc>
        <w:tc>
          <w:tcPr>
            <w:tcW w:type="dxa" w:w="4968"/>
            <w:tcW w:w="7632" w:type="dxa"/>
            <w:tcMar>
              <w:top w:w="50" w:type="dxa"/>
              <w:left w:w="110" w:type="dxa"/>
              <w:bottom w:w="50" w:type="dxa"/>
              <w:right w:w="100" w:type="dxa"/>
            </w:tcMar>
            <w:vAlign w:val="top"/>
          </w:tcPr>
          <w:p>
            <w:pPr>
              <w:spacing w:before="0" w:after="0"/>
              <w:jc w:val="both"/>
            </w:pPr>
            <w:r>
              <w:rPr>
                <w:sz w:val="19"/>
              </w:rPr>
              <w:t>Emissão eletrônica das Notificações de Receita (azul e amarela), com QR Code.</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Fonte</w:t>
            </w:r>
          </w:p>
        </w:tc>
        <w:tc>
          <w:tcPr>
            <w:tcW w:type="dxa" w:w="4968"/>
            <w:tcW w:w="7632" w:type="dxa"/>
            <w:tcMar>
              <w:top w:w="50" w:type="dxa"/>
              <w:left w:w="110" w:type="dxa"/>
              <w:bottom w:w="50" w:type="dxa"/>
              <w:right w:w="100" w:type="dxa"/>
            </w:tcMar>
            <w:vAlign w:val="top"/>
          </w:tcPr>
          <w:p>
            <w:pPr>
              <w:spacing w:before="0" w:after="0"/>
              <w:jc w:val="both"/>
            </w:pPr>
            <w:hyperlink r:id="rId95">
              <w:r>
                <w:rPr>
                  <w:color w:val="1F4E79"/>
                  <w:u w:val="single"/>
                </w:rPr>
                <w:t xml:space="preserve">ANVISA — notícia</w:t>
              </w:r>
            </w:hyperlink>
          </w:p>
        </w:tc>
      </w:tr>
    </w:tbl>
    <w:p>
      <w:pPr>
        <w:spacing w:before="0" w:after="120"/>
      </w:pPr>
    </w:p>
    <w:tbl>
      <w:tblPr>
        <w:tblW w:type="auto" w:w="0"/>
        <w:jc w:val="center"/>
        <w:tblLook w:firstColumn="1" w:firstRow="1" w:lastColumn="0" w:lastRow="0" w:noHBand="0" w:noVBand="1" w:val="04A0"/>
        <w:tblBorders>
          <w:top w:val="single" w:sz="4" w:space="0" w:color="D7DDE8"/>
          <w:left w:val="single" w:sz="24" w:space="0" w:color="1F4E79"/>
          <w:bottom w:val="single" w:sz="4" w:space="0" w:color="D7DDE8"/>
          <w:right w:val="single" w:sz="4" w:space="0" w:color="D7DDE8"/>
          <w:insideH w:val="single" w:sz="4" w:space="0" w:color="D7DDE8"/>
          <w:insideV w:val="nil"/>
        </w:tblBorders>
      </w:tblPr>
      <w:tblGrid>
        <w:gridCol w:w="4968"/>
        <w:gridCol w:w="4968"/>
      </w:tblGrid>
      <w:tr>
        <w:tc>
          <w:tcPr>
            <w:tcW w:type="dxa" w:w="9936"/>
            <w:gridSpan w:val="2"/>
            <w:shd w:val="clear" w:color="auto" w:fill="F6F9FD"/>
            <w:tcMar>
              <w:top w:w="70" w:type="dxa"/>
              <w:left w:w="110" w:type="dxa"/>
              <w:bottom w:w="70" w:type="dxa"/>
              <w:right w:w="110" w:type="dxa"/>
            </w:tcMar>
          </w:tcPr>
          <w:p>
            <w:pPr>
              <w:spacing w:before="0" w:after="20"/>
            </w:pPr>
            <w:r>
              <w:rPr>
                <w:b/>
                <w:color w:val="1F4E79"/>
                <w:sz w:val="14"/>
                <w:shd w:val="clear" w:color="auto" w:fill="D9E2F3"/>
              </w:rPr>
              <w:t xml:space="preserve"> SUS </w:t>
            </w:r>
            <w:r>
              <w:rPr>
                <w:b/>
                <w:color w:val="FFFFFF"/>
                <w:sz w:val="14"/>
                <w:shd w:val="clear" w:color="auto" w:fill="1F3864"/>
              </w:rPr>
              <w:t xml:space="preserve"> SAÚDE SUPLEMENTAR </w:t>
            </w:r>
            <w:r>
              <w:rPr>
                <w:b/>
                <w:color w:val="556677"/>
                <w:sz w:val="15"/>
              </w:rPr>
              <w:t xml:space="preserve">  ANVISA · CANETAS EMAGRECEDORAS IRREGULARES</w:t>
            </w:r>
          </w:p>
          <w:p>
            <w:pPr>
              <w:spacing w:before="0" w:after="20"/>
            </w:pPr>
            <w:r>
              <w:rPr>
                <w:b/>
                <w:color w:val="1F3864"/>
                <w:sz w:val="21"/>
              </w:rPr>
              <w:t>16/09 e 25/09/2026</w:t>
            </w:r>
          </w:p>
          <w:p>
            <w:pPr>
              <w:spacing w:before="0" w:after="0"/>
            </w:pPr>
            <w:r>
              <w:rPr>
                <w:i/>
                <w:color w:val="37475A"/>
                <w:sz w:val="18"/>
              </w:rPr>
              <w:t>Proibições e alerta sobre manipulação.</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Objeto</w:t>
            </w:r>
          </w:p>
        </w:tc>
        <w:tc>
          <w:tcPr>
            <w:tcW w:type="dxa" w:w="4968"/>
            <w:tcW w:w="7632" w:type="dxa"/>
            <w:tcMar>
              <w:top w:w="50" w:type="dxa"/>
              <w:left w:w="110" w:type="dxa"/>
              <w:bottom w:w="50" w:type="dxa"/>
              <w:right w:w="100" w:type="dxa"/>
            </w:tcMar>
            <w:vAlign w:val="top"/>
          </w:tcPr>
          <w:p>
            <w:pPr>
              <w:spacing w:before="0" w:after="0"/>
              <w:jc w:val="both"/>
            </w:pPr>
            <w:r>
              <w:rPr>
                <w:sz w:val="19"/>
              </w:rPr>
              <w:t>Proibição da caneta T36 e da propaganda da caneta Semavy; alerta sobre manipulação caseira de tirzepatida (23/09).</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Fonte</w:t>
            </w:r>
          </w:p>
        </w:tc>
        <w:tc>
          <w:tcPr>
            <w:tcW w:type="dxa" w:w="4968"/>
            <w:tcW w:w="7632" w:type="dxa"/>
            <w:tcMar>
              <w:top w:w="50" w:type="dxa"/>
              <w:left w:w="110" w:type="dxa"/>
              <w:bottom w:w="50" w:type="dxa"/>
              <w:right w:w="100" w:type="dxa"/>
            </w:tcMar>
            <w:vAlign w:val="top"/>
          </w:tcPr>
          <w:p>
            <w:pPr>
              <w:spacing w:before="0" w:after="0"/>
              <w:jc w:val="both"/>
            </w:pPr>
            <w:hyperlink r:id="rId96">
              <w:r>
                <w:rPr>
                  <w:color w:val="1F4E79"/>
                  <w:u w:val="single"/>
                </w:rPr>
                <w:t xml:space="preserve">T36</w:t>
              </w:r>
            </w:hyperlink>
            <w:r>
              <w:rPr>
                <w:sz w:val="19"/>
              </w:rPr>
              <w:t xml:space="preserve"> · </w:t>
            </w:r>
            <w:hyperlink r:id="rId97">
              <w:r>
                <w:rPr>
                  <w:color w:val="1F4E79"/>
                  <w:u w:val="single"/>
                </w:rPr>
                <w:t xml:space="preserve">Semavy</w:t>
              </w:r>
            </w:hyperlink>
          </w:p>
        </w:tc>
      </w:tr>
    </w:tbl>
    <w:p>
      <w:pPr>
        <w:spacing w:before="0" w:after="120"/>
      </w:pPr>
    </w:p>
    <w:tbl>
      <w:tblPr>
        <w:tblW w:type="auto" w:w="0"/>
        <w:jc w:val="center"/>
        <w:tblLook w:firstColumn="1" w:firstRow="1" w:lastColumn="0" w:lastRow="0" w:noHBand="0" w:noVBand="1" w:val="04A0"/>
        <w:tblBorders>
          <w:top w:val="single" w:sz="4" w:space="0" w:color="D7DDE8"/>
          <w:left w:val="single" w:sz="24" w:space="0" w:color="1F4E79"/>
          <w:bottom w:val="single" w:sz="4" w:space="0" w:color="D7DDE8"/>
          <w:right w:val="single" w:sz="4" w:space="0" w:color="D7DDE8"/>
          <w:insideH w:val="single" w:sz="4" w:space="0" w:color="D7DDE8"/>
          <w:insideV w:val="nil"/>
        </w:tblBorders>
      </w:tblPr>
      <w:tblGrid>
        <w:gridCol w:w="4968"/>
        <w:gridCol w:w="4968"/>
      </w:tblGrid>
      <w:tr>
        <w:tc>
          <w:tcPr>
            <w:tcW w:type="dxa" w:w="9936"/>
            <w:gridSpan w:val="2"/>
            <w:shd w:val="clear" w:color="auto" w:fill="F6F9FD"/>
            <w:tcMar>
              <w:top w:w="70" w:type="dxa"/>
              <w:left w:w="110" w:type="dxa"/>
              <w:bottom w:w="70" w:type="dxa"/>
              <w:right w:w="110" w:type="dxa"/>
            </w:tcMar>
          </w:tcPr>
          <w:p>
            <w:pPr>
              <w:spacing w:before="0" w:after="20"/>
            </w:pPr>
            <w:r>
              <w:rPr>
                <w:b/>
                <w:color w:val="1F4E79"/>
                <w:sz w:val="14"/>
                <w:shd w:val="clear" w:color="auto" w:fill="D9E2F3"/>
              </w:rPr>
              <w:t xml:space="preserve"> SUS </w:t>
            </w:r>
            <w:r>
              <w:rPr>
                <w:b/>
                <w:color w:val="556677"/>
                <w:sz w:val="15"/>
              </w:rPr>
              <w:t xml:space="preserve">  ANVISA · TYG 50 MG — INTERDIÇÃO CAUTELAR</w:t>
            </w:r>
          </w:p>
          <w:p>
            <w:pPr>
              <w:spacing w:before="0" w:after="20"/>
            </w:pPr>
            <w:r>
              <w:rPr>
                <w:b/>
                <w:color w:val="1F3864"/>
                <w:sz w:val="21"/>
              </w:rPr>
              <w:t>11/09/2026 · Res. 3.456/2026</w:t>
            </w:r>
          </w:p>
          <w:p>
            <w:pPr>
              <w:spacing w:before="0" w:after="0"/>
            </w:pPr>
            <w:r>
              <w:rPr>
                <w:i/>
                <w:color w:val="37475A"/>
                <w:sz w:val="18"/>
              </w:rPr>
              <w:t>Antibiótico intravenoso; suspeita de desvio de qualidade (lote 2604940).</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Objeto</w:t>
            </w:r>
          </w:p>
        </w:tc>
        <w:tc>
          <w:tcPr>
            <w:tcW w:type="dxa" w:w="4968"/>
            <w:tcW w:w="7632" w:type="dxa"/>
            <w:tcMar>
              <w:top w:w="50" w:type="dxa"/>
              <w:left w:w="110" w:type="dxa"/>
              <w:bottom w:w="50" w:type="dxa"/>
              <w:right w:w="100" w:type="dxa"/>
            </w:tcMar>
            <w:vAlign w:val="top"/>
          </w:tcPr>
          <w:p>
            <w:pPr>
              <w:spacing w:before="0" w:after="0"/>
              <w:jc w:val="both"/>
            </w:pPr>
            <w:r>
              <w:rPr>
                <w:sz w:val="19"/>
              </w:rPr>
              <w:t>Interdição cautelar por suspeita de desvio de qualidade.</w:t>
            </w:r>
          </w:p>
        </w:tc>
      </w:tr>
      <w:tr>
        <w:tc>
          <w:tcPr>
            <w:tcW w:type="dxa" w:w="4968"/>
            <w:tcW w:w="2232" w:type="dxa"/>
            <w:shd w:val="clear" w:color="auto" w:fill="D9E2F3"/>
            <w:tcMar>
              <w:top w:w="50" w:type="dxa"/>
              <w:left w:w="100" w:type="dxa"/>
              <w:bottom w:w="50" w:type="dxa"/>
              <w:right w:w="90" w:type="dxa"/>
            </w:tcMar>
            <w:vAlign w:val="top"/>
          </w:tcPr>
          <w:p>
            <w:pPr>
              <w:spacing w:before="0" w:after="0"/>
            </w:pPr>
            <w:r>
              <w:rPr>
                <w:b/>
                <w:color w:val="1F4E79"/>
                <w:sz w:val="18"/>
              </w:rPr>
              <w:t>Fonte</w:t>
            </w:r>
          </w:p>
        </w:tc>
        <w:tc>
          <w:tcPr>
            <w:tcW w:type="dxa" w:w="4968"/>
            <w:tcW w:w="7632" w:type="dxa"/>
            <w:tcMar>
              <w:top w:w="50" w:type="dxa"/>
              <w:left w:w="110" w:type="dxa"/>
              <w:bottom w:w="50" w:type="dxa"/>
              <w:right w:w="100" w:type="dxa"/>
            </w:tcMar>
            <w:vAlign w:val="top"/>
          </w:tcPr>
          <w:p>
            <w:pPr>
              <w:spacing w:before="0" w:after="0"/>
              <w:jc w:val="both"/>
            </w:pPr>
            <w:hyperlink r:id="rId98">
              <w:r>
                <w:rPr>
                  <w:color w:val="1F4E79"/>
                  <w:u w:val="single"/>
                </w:rPr>
                <w:t xml:space="preserve">ANVISA — notícia</w:t>
              </w:r>
            </w:hyperlink>
          </w:p>
        </w:tc>
      </w:tr>
    </w:tbl>
    <w:p>
      <w:pPr>
        <w:spacing w:before="0" w:after="120"/>
      </w:pPr>
    </w:p>
    <w:tbl>
      <w:tblPr>
        <w:tblW w:type="auto" w:w="0"/>
        <w:jc w:val="center"/>
        <w:tblLook w:firstColumn="1" w:firstRow="1" w:lastColumn="0" w:lastRow="0" w:noHBand="0" w:noVBand="1" w:val="04A0"/>
        <w:tblBorders>
          <w:top w:val="single" w:sz="8" w:space="0" w:color="BF8F00"/>
          <w:left w:val="single" w:sz="18" w:space="0" w:color="BF8F00"/>
          <w:bottom w:val="single" w:sz="8" w:space="0" w:color="BF8F00"/>
          <w:right w:val="single" w:sz="8" w:space="0" w:color="BF8F00"/>
          <w:insideH w:val="nil"/>
          <w:insideV w:val="nil"/>
        </w:tblBorders>
      </w:tblPr>
      <w:tblGrid>
        <w:gridCol w:w="9936"/>
      </w:tblGrid>
      <w:tr>
        <w:tc>
          <w:tcPr>
            <w:tcW w:type="dxa" w:w="9936"/>
            <w:tcW w:w="9936" w:type="dxa"/>
            <w:shd w:val="clear" w:color="auto" w:fill="FFF2CB"/>
            <w:tcMar>
              <w:top w:w="90" w:type="dxa"/>
              <w:left w:w="110" w:type="dxa"/>
              <w:bottom w:w="90" w:type="dxa"/>
              <w:right w:w="110" w:type="dxa"/>
            </w:tcMar>
          </w:tcPr>
          <w:p>
            <w:pPr>
              <w:spacing w:before="0" w:after="60"/>
            </w:pPr>
            <w:r>
              <w:rPr>
                <w:b/>
                <w:color w:val="BF8F00"/>
                <w:sz w:val="17"/>
              </w:rPr>
              <w:t>18ª REUNIÃO PÚBLICA DA DICOL/ANVISA — 30/09/2026</w:t>
            </w:r>
          </w:p>
          <w:p>
            <w:pPr>
              <w:spacing w:before="0" w:after="0"/>
              <w:jc w:val="both"/>
            </w:pPr>
            <w:r>
              <w:rPr>
                <w:color w:val="1F3864"/>
                <w:sz w:val="19"/>
              </w:rPr>
              <w:t xml:space="preserve">Processos deliberados: recursos administrativos sanitários e consultas de RDC sobre aditivos alimentares (RDC 88 e 90/2016) e tabaco. Sem RDC/IN com interface direta com a judicialização da saúde no período. </w:t>
            </w:r>
            <w:hyperlink r:id="rId99">
              <w:r>
                <w:rPr>
                  <w:color w:val="1F4E79"/>
                  <w:u w:val="single"/>
                </w:rPr>
                <w:t xml:space="preserve">Processos deliberados</w:t>
              </w:r>
            </w:hyperlink>
            <w:r>
              <w:rPr>
                <w:color w:val="1F3864"/>
                <w:sz w:val="19"/>
              </w:rPr>
              <w:t>.</w:t>
            </w:r>
          </w:p>
        </w:tc>
      </w:tr>
    </w:tbl>
    <w:p>
      <w:pPr>
        <w:spacing w:before="0" w:after="120"/>
      </w:pPr>
    </w:p>
    <w:p>
      <w:pPr>
        <w:spacing w:after="80"/>
      </w:pPr>
    </w:p>
    <w:p>
      <w:pPr>
        <w:jc w:val="center"/>
      </w:pPr>
      <w:r>
        <w:rPr>
          <w:i/>
          <w:color w:val="556677"/>
          <w:sz w:val="18"/>
        </w:rPr>
        <w:t>— Fim do Monitoramento em Direito da Saúde — Edição 7/2026 —</w:t>
        <w:br/>
        <w:t>Grupo de Trabalho em Direito da Saúde · TRF3 · Ciclo Setembro/Outubro 2026</w:t>
      </w:r>
    </w:p>
    <w:sectPr w:rsidR="00FC693F" w:rsidRPr="0006063C" w:rsidSect="00034616">
      <w:pgSz w:w="12240" w:h="15840"/>
      <w:pgMar w:top="1152" w:right="1152" w:bottom="1152" w:left="11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1"/>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image" Target="media/image1.png"/><Relationship Id="rId10" Type="http://schemas.openxmlformats.org/officeDocument/2006/relationships/hyperlink" Target="https://www.stf.jus.br/arquivo/informativo/documento/informativo1227.htm" TargetMode="External"/><Relationship Id="rId11" Type="http://schemas.openxmlformats.org/officeDocument/2006/relationships/hyperlink" Target="https://www.stf.jus.br/arquivo/informativo/documento/informativo1228.htm" TargetMode="External"/><Relationship Id="rId12" Type="http://schemas.openxmlformats.org/officeDocument/2006/relationships/hyperlink" Target="https://www.stf.jus.br/arquivo/informativo/documento/informativo1230.htm" TargetMode="External"/><Relationship Id="rId13" Type="http://schemas.openxmlformats.org/officeDocument/2006/relationships/hyperlink" Target="https://www.stj.jus.br/docs_internet/informativos/PDF/Inf0903.pdf" TargetMode="External"/><Relationship Id="rId14" Type="http://schemas.openxmlformats.org/officeDocument/2006/relationships/hyperlink" Target="https://www.pje.jus.br/e-natjus/arquivo-download.php?hash=bf69553630ba044e3984c0aca9d2b07b65afc6f6" TargetMode="External"/><Relationship Id="rId15" Type="http://schemas.openxmlformats.org/officeDocument/2006/relationships/hyperlink" Target="https://www.pje.jus.br/e-natjus/parecerTecnico-listar.php" TargetMode="External"/><Relationship Id="rId16" Type="http://schemas.openxmlformats.org/officeDocument/2006/relationships/hyperlink" Target="https://www.planalto.gov.br/ccivil_03/_ato2023-2026/2026/lei/l15524.htm" TargetMode="External"/><Relationship Id="rId17" Type="http://schemas.openxmlformats.org/officeDocument/2006/relationships/hyperlink" Target="https://www.planalto.gov.br/ccivil_03/_ato2023-2026/2026/lei/l15505.htm" TargetMode="External"/><Relationship Id="rId18" Type="http://schemas.openxmlformats.org/officeDocument/2006/relationships/hyperlink" Target="https://www.planalto.gov.br/ccivil_03/_ato2023-2026/2026/lei/l15516.htm" TargetMode="External"/><Relationship Id="rId19" Type="http://schemas.openxmlformats.org/officeDocument/2006/relationships/hyperlink" Target="https://www.planalto.gov.br/ccivil_03/_ato2023-2026/2026/lei/l15494.htm" TargetMode="External"/><Relationship Id="rId20" Type="http://schemas.openxmlformats.org/officeDocument/2006/relationships/hyperlink" Target="https://www.gov.br/saude/pt-br/assuntos/noticias-ms/2026/setembro/sancionada-lei-que-preve-oferta-de-tromboliticos-para-tratamento-de-infarto-e-avc-na-rede-de-urgencia-e-emergencia-do-sus" TargetMode="External"/><Relationship Id="rId21" Type="http://schemas.openxmlformats.org/officeDocument/2006/relationships/hyperlink" Target="https://www.planalto.gov.br/ccivil_03/_ato2023-2026/2026/lei/l15484.htm" TargetMode="External"/><Relationship Id="rId22" Type="http://schemas.openxmlformats.org/officeDocument/2006/relationships/hyperlink" Target="https://www.planalto.gov.br/ccivil_03/_ato2023-2026/2026/lei/l15513.htm" TargetMode="External"/><Relationship Id="rId23" Type="http://schemas.openxmlformats.org/officeDocument/2006/relationships/hyperlink" Target="https://www.planalto.gov.br/ccivil_03/_ato2023-2026/2026/lei/l15519.htm" TargetMode="External"/><Relationship Id="rId24" Type="http://schemas.openxmlformats.org/officeDocument/2006/relationships/hyperlink" Target="https://www.in.gov.br/web/dou/-/portaria-gm/ms-n-12.252-de-29-de-setembro-de-2026-735410971" TargetMode="External"/><Relationship Id="rId25" Type="http://schemas.openxmlformats.org/officeDocument/2006/relationships/hyperlink" Target="https://www.in.gov.br/web/dou/-/portaria-gm/ms-n-12.167-de-15-de-setembro-de-2026-732439495" TargetMode="External"/><Relationship Id="rId26" Type="http://schemas.openxmlformats.org/officeDocument/2006/relationships/hyperlink" Target="https://www.in.gov.br/web/dou/-/portaria-gm/ms-n-12.244-de-25-de-setembro-de-2026-735118859" TargetMode="External"/><Relationship Id="rId27" Type="http://schemas.openxmlformats.org/officeDocument/2006/relationships/hyperlink" Target="https://www.in.gov.br/web/dou/-/portaria-gm/ms-n-12.254-de-30-de-setembro-de-2026-735717017" TargetMode="External"/><Relationship Id="rId28" Type="http://schemas.openxmlformats.org/officeDocument/2006/relationships/hyperlink" Target="https://www.in.gov.br/web/dou/-/portaria-conjunta-saes/sctie-n-75-de-31-de-agosto-de-2026-730979243" TargetMode="External"/><Relationship Id="rId29" Type="http://schemas.openxmlformats.org/officeDocument/2006/relationships/hyperlink" Target="https://www.in.gov.br/web/dou/-/portaria-saes/ms-n-4.965-de-21-de-setembro-de-2026-735712986" TargetMode="External"/><Relationship Id="rId30" Type="http://schemas.openxmlformats.org/officeDocument/2006/relationships/hyperlink" Target="https://www.in.gov.br/web/dou/-/portaria-gm/ms-n-12.174-de-21-de-setembro-de-2026-733229418" TargetMode="External"/><Relationship Id="rId31" Type="http://schemas.openxmlformats.org/officeDocument/2006/relationships/hyperlink" Target="https://www.in.gov.br/web/dou/-/portaria-gm/ms-n-12.137-de-17-de-setembro-de-2026-732690203" TargetMode="External"/><Relationship Id="rId32" Type="http://schemas.openxmlformats.org/officeDocument/2006/relationships/hyperlink" Target="https://www.in.gov.br/web/dou/-/portaria-saes/ms-n-4.960-de-18-de-setembro-de-2026-732982866" TargetMode="External"/><Relationship Id="rId33" Type="http://schemas.openxmlformats.org/officeDocument/2006/relationships/hyperlink" Target="https://www.in.gov.br/web/dou/-/portaria-saes/ms-n-4.904-de-14-de-setembro-de-2026-731885555" TargetMode="External"/><Relationship Id="rId34" Type="http://schemas.openxmlformats.org/officeDocument/2006/relationships/hyperlink" Target="https://www.in.gov.br/web/dou/-/portaria-saes/ms-n-4.857-de-15-de-setembro-de-2026-733214341" TargetMode="External"/><Relationship Id="rId35" Type="http://schemas.openxmlformats.org/officeDocument/2006/relationships/hyperlink" Target="https://www.gov.br/saude/pt-br/assuntos/noticias-ms/2026/setembro/ministerio-da-saude-protocola-na-conitec-pedido-de-analise-para-incorporacao-de-canetas-emagrecedoras-no-sus" TargetMode="External"/><Relationship Id="rId36" Type="http://schemas.openxmlformats.org/officeDocument/2006/relationships/hyperlink" Target="https://www.gov.br/saude/pt-br/assuntos/noticias-ms/2026/setembro/sus-regulamenta-componente-da-assistencia-farmaceutica-em-oncologia" TargetMode="External"/><Relationship Id="rId37" Type="http://schemas.openxmlformats.org/officeDocument/2006/relationships/hyperlink" Target="https://www.gov.br/saude/pt-br/assuntos/noticias-ms/2026/setembro/nova-vacina-ministerio-da-saude-vai-ofertar-pneumo20-para-quem-tem-mais-de-85-anos" TargetMode="External"/><Relationship Id="rId38" Type="http://schemas.openxmlformats.org/officeDocument/2006/relationships/hyperlink" Target="https://www.gov.br/saude/pt-br/se/djud" TargetMode="External"/><Relationship Id="rId39" Type="http://schemas.openxmlformats.org/officeDocument/2006/relationships/hyperlink" Target="https://www.in.gov.br/web/dou/-/portaria-saes/ms-n-4.938-de-15-de-setembro-de-2026-*-736029125" TargetMode="External"/><Relationship Id="rId40" Type="http://schemas.openxmlformats.org/officeDocument/2006/relationships/hyperlink" Target="https://www.gov.br/conitec/pt-br/midias/relatorios/portaria/2026/portaria-sctie-ms-no-56-de-14-de-setembro-de-2026.pdf/@@display-file/file" TargetMode="External"/><Relationship Id="rId41" Type="http://schemas.openxmlformats.org/officeDocument/2006/relationships/hyperlink" Target="https://www.gov.br/conitec/pt-br/midias/relatorios/2026/relatorio-de-recomendacao-no-1-128-carbonato-de-litio-liberacao-prolongada-450-mg.pdf" TargetMode="External"/><Relationship Id="rId42" Type="http://schemas.openxmlformats.org/officeDocument/2006/relationships/hyperlink" Target="https://www.gov.br/conitec/pt-br/midias/relatorios/portaria/2026/portaria-sctie-ms-no-57-de-14-de-setembro-de-2026.pdf/@@display-file/file" TargetMode="External"/><Relationship Id="rId43" Type="http://schemas.openxmlformats.org/officeDocument/2006/relationships/hyperlink" Target="https://www.gov.br/conitec/pt-br/midias/relatorios/2026/relatorio-de-recomendacao-no-1-138-cirurgia-antiglaucomatosa-por-via-angular.pdf" TargetMode="External"/><Relationship Id="rId44" Type="http://schemas.openxmlformats.org/officeDocument/2006/relationships/hyperlink" Target="https://www.gov.br/conitec/pt-br/midias/relatorios/portaria/2026/portaria-sctie-ms-no-58-de-28-de-setembro-de-2026.pdf/@@display-file/file" TargetMode="External"/><Relationship Id="rId45" Type="http://schemas.openxmlformats.org/officeDocument/2006/relationships/hyperlink" Target="https://www.gov.br/conitec/pt-br/midias/relatorios/2026/relatorio-de-recomendacao-no-1-127-rituximabe.pdf" TargetMode="External"/><Relationship Id="rId46" Type="http://schemas.openxmlformats.org/officeDocument/2006/relationships/hyperlink" Target="https://www.gov.br/conitec/pt-br/midias/relatorios/portaria/2026/portaria-sctie-ms-no-60-de-28-de-setembro-de-2026.pdf/@@display-file/file" TargetMode="External"/><Relationship Id="rId47" Type="http://schemas.openxmlformats.org/officeDocument/2006/relationships/hyperlink" Target="https://www.gov.br/conitec/pt-br/midias/relatorios/2026/relatorio-de-recomendacao-no-1-136-tomografia-de-coerencia-optica-angulo-fechado.pdf" TargetMode="External"/><Relationship Id="rId48" Type="http://schemas.openxmlformats.org/officeDocument/2006/relationships/hyperlink" Target="https://www.gov.br/conitec/pt-br/midias/relatorios/portaria/2026/portaria-sctie-ms-no-59-de-28-de-setembro-de-2026.pdf/@@display-file/file" TargetMode="External"/><Relationship Id="rId49" Type="http://schemas.openxmlformats.org/officeDocument/2006/relationships/hyperlink" Target="https://www.gov.br/conitec/pt-br/midias/relatorios/2026/relatorio-de-recomendacao-no-1-135-sensor-pre-calibrado.pdf" TargetMode="External"/><Relationship Id="rId50" Type="http://schemas.openxmlformats.org/officeDocument/2006/relationships/hyperlink" Target="https://www.gov.br/conitec/pt-br/midias/relatorios/portaria/2026/portaria-sctie-ms-no-61-de-28-de-setembro-de-2026.pdf/@@display-file/file" TargetMode="External"/><Relationship Id="rId51" Type="http://schemas.openxmlformats.org/officeDocument/2006/relationships/hyperlink" Target="https://www.gov.br/conitec/pt-br/midias/relatorios/2026/relatorio-de-recomendacao-no-1-137-tomografia-coerencia-optica-angulo-aberto-e-angulo-fechado.pdf" TargetMode="External"/><Relationship Id="rId52" Type="http://schemas.openxmlformats.org/officeDocument/2006/relationships/hyperlink" Target="https://www.gov.br/conitec/pt-br/midias/relatorios/2025/relatorio-de-recomendacao-no-1063-nusinersena.pdf" TargetMode="External"/><Relationship Id="rId53" Type="http://schemas.openxmlformats.org/officeDocument/2006/relationships/hyperlink" Target="https://www.gov.br/conitec/pt-br/midias/consultas/2026/consulta-publica-sctie-ms-no-94-de-14-de-setembro-de-2026.pdf" TargetMode="External"/><Relationship Id="rId54" Type="http://schemas.openxmlformats.org/officeDocument/2006/relationships/hyperlink" Target="https://www.gov.br/conitec/pt-br/midias/consultas/2026/consulta-publica-sctie-ms-no-95-de-14-de-setembro-de-2026.pdf" TargetMode="External"/><Relationship Id="rId55" Type="http://schemas.openxmlformats.org/officeDocument/2006/relationships/hyperlink" Target="https://www.gov.br/conitec/pt-br/midias/consultas/2026/consulta-publica-sctie-ms-no-96-de-14-de-setembro-de-2026.pdf" TargetMode="External"/><Relationship Id="rId56" Type="http://schemas.openxmlformats.org/officeDocument/2006/relationships/hyperlink" Target="https://www.gov.br/conitec/pt-br/midias/consultas/2026/consulta-publica-sctie-ms-no-97-de-28-de-setembro-de-2026.pdf" TargetMode="External"/><Relationship Id="rId57" Type="http://schemas.openxmlformats.org/officeDocument/2006/relationships/hyperlink" Target="https://www.gov.br/conitec/pt-br/midias/consultas/2026/consulta-publica-sctie-ms-no-98-de-28-de-setembro-de-2026.pdf" TargetMode="External"/><Relationship Id="rId58" Type="http://schemas.openxmlformats.org/officeDocument/2006/relationships/hyperlink" Target="https://www.gov.br/conitec/pt-br/midias/consultas/2026/consulta-publica-sctie-ms-no-99-de-28-de-setembro-de-2026.pdf" TargetMode="External"/><Relationship Id="rId59" Type="http://schemas.openxmlformats.org/officeDocument/2006/relationships/hyperlink" Target="https://www.gov.br/conitec/pt-br/midias/consultas/2026/consulta-publica-sctie-ms-no-100-de-28-de-setembro-de-2026.pdf" TargetMode="External"/><Relationship Id="rId60" Type="http://schemas.openxmlformats.org/officeDocument/2006/relationships/hyperlink" Target="https://www.gov.br/conitec/pt-br/midias/consultas/2026/consulta-publica-sctie-ms-no-101-de-28-de-setembro-de-2026.pdf/@@display-file/file" TargetMode="External"/><Relationship Id="rId61" Type="http://schemas.openxmlformats.org/officeDocument/2006/relationships/hyperlink" Target="https://www.in.gov.br/web/dou/-/consulta-publica-sctie/ms-n-102-de-1-de-outubro-de-2026-736045041" TargetMode="External"/><Relationship Id="rId62" Type="http://schemas.openxmlformats.org/officeDocument/2006/relationships/hyperlink" Target="https://www.gov.br/conitec/pt-br/midias/reuniao_conitec/2026/ata-da-154o-reuniao-da-conitec_medicamentos.pdf" TargetMode="External"/><Relationship Id="rId63" Type="http://schemas.openxmlformats.org/officeDocument/2006/relationships/hyperlink" Target="https://www.gov.br/conitec/pt-br/assuntos/noticias/2026/setembro/workshop-internacional-discute-avaliacao-de-tecnologias-em-saude-para-doencas-ultrarraras" TargetMode="External"/><Relationship Id="rId64" Type="http://schemas.openxmlformats.org/officeDocument/2006/relationships/hyperlink" Target="https://app.powerbi.com/view?r=eyJrIjoiNjA2NjNmMjAtNzU5Yy00YWVkLTk5MjUtYTgxZDEzNDcwOGFjIiwidCI6IjlhNTU0YWQzLWI1MmItNDg2Mi1hMzZmLTg0ZDg5MWU1YzcwNSJ9" TargetMode="External"/><Relationship Id="rId65" Type="http://schemas.openxmlformats.org/officeDocument/2006/relationships/hyperlink" Target="https://www.gov.br/ans/pt-br/assuntos/noticias-1/periodo-eleitoral/ans-aprova-atualizacao-de-cinco-tecnologias-no-rol" TargetMode="External"/><Relationship Id="rId66" Type="http://schemas.openxmlformats.org/officeDocument/2006/relationships/hyperlink" Target="https://www.gov.br/ans/pt-br/assuntos/noticias-1/periodo-eleitoral/deliberacoes-da-643a-reuniao-da-diretoria-colegiada" TargetMode="External"/><Relationship Id="rId67" Type="http://schemas.openxmlformats.org/officeDocument/2006/relationships/hyperlink" Target="https://www.gov.br/ans/pt-br/assuntos/noticias-1/periodo-eleitoral/ans-aprova-mamografia-digital-sem-restricao-de-idade" TargetMode="External"/><Relationship Id="rId68" Type="http://schemas.openxmlformats.org/officeDocument/2006/relationships/hyperlink" Target="https://www.gov.br/ans/pt-br/assuntos/noticias-1/periodo-eleitoral/consulta-publica-177-ans-recebe-contribuicoes-para-atualizacao-do-rol" TargetMode="External"/><Relationship Id="rId69" Type="http://schemas.openxmlformats.org/officeDocument/2006/relationships/hyperlink" Target="https://www.gov.br/ans/pt-br/assuntos/noticias-1/periodo-eleitoral/ans-promove-audiencia-publica-69" TargetMode="External"/><Relationship Id="rId70" Type="http://schemas.openxmlformats.org/officeDocument/2006/relationships/hyperlink" Target="https://www.gov.br/ans/pt-br/assuntos/noticias-1/periodo-eleitoral/consulta-publica-176-ans-recebe-contribuicoes-para-atualizacao-do-rol" TargetMode="External"/><Relationship Id="rId71" Type="http://schemas.openxmlformats.org/officeDocument/2006/relationships/hyperlink" Target="https://www.gov.br/ans/pt-br/assuntos/noticias-1/periodo-eleitoral/cosaude-analisa-inclusao-de-tecnologias-no-rol" TargetMode="External"/><Relationship Id="rId72" Type="http://schemas.openxmlformats.org/officeDocument/2006/relationships/hyperlink" Target="https://www.gov.br/ans/pt-br/assuntos/noticias-1/periodo-eleitoral/ans-divulga-9a-edicao-do-mapa-do-ressarcimento-ao-sus" TargetMode="External"/><Relationship Id="rId73" Type="http://schemas.openxmlformats.org/officeDocument/2006/relationships/hyperlink" Target="https://www.gov.br/ans/pt-br/assuntos/noticias-1/periodo-eleitoral/diretoria-colegiada-da-ans-tem-nova-composicao" TargetMode="External"/><Relationship Id="rId74" Type="http://schemas.openxmlformats.org/officeDocument/2006/relationships/hyperlink" Target="https://www.cnj.jus.br/conheca-os-vencedores-da-4a-edicao-do-premio-justica-e-saude/" TargetMode="External"/><Relationship Id="rId75" Type="http://schemas.openxmlformats.org/officeDocument/2006/relationships/hyperlink" Target="https://www.cnj.jus.br/agendas/v-congresso-nacional-do-fonajus/" TargetMode="External"/><Relationship Id="rId76" Type="http://schemas.openxmlformats.org/officeDocument/2006/relationships/hyperlink" Target="https://www.cnj.jus.br/saude-judiciario-debatera-inovacoes-e-judicializacao-em-novembro/" TargetMode="External"/><Relationship Id="rId77" Type="http://schemas.openxmlformats.org/officeDocument/2006/relationships/hyperlink" Target="https://www.cnj.jus.br/fonajus-itinerante-aprofunda-dialogo-sobre-judicializacao-da-saude-no-rio-grande-do-norte/" TargetMode="External"/><Relationship Id="rId78" Type="http://schemas.openxmlformats.org/officeDocument/2006/relationships/hyperlink" Target="https://www.conass.org.br/conass-apresenta-propostas-para-a-saude-do-brasil-2027-2030/" TargetMode="External"/><Relationship Id="rId79" Type="http://schemas.openxmlformats.org/officeDocument/2006/relationships/hyperlink" Target="https://www.conass.org.br/oficina-reune-estados-da-regiao-sul-para-fortalecer-a-implementacao-da-politica-nacional-de-cuidados-paliativos/" TargetMode="External"/><Relationship Id="rId80" Type="http://schemas.openxmlformats.org/officeDocument/2006/relationships/hyperlink" Target="https://consenso.org.br/instituto-consenso-promove-forum-internacional-e-debate-sobre-patentes-farmaceuticas-em-setembro/" TargetMode="External"/><Relationship Id="rId81" Type="http://schemas.openxmlformats.org/officeDocument/2006/relationships/hyperlink" Target="https://consenso.org.br/instituto-consenso-lanca-segunda-edicao-da-revista-consenso/" TargetMode="External"/><Relationship Id="rId82" Type="http://schemas.openxmlformats.org/officeDocument/2006/relationships/hyperlink" Target="https://sistemas.cfm.org.br/normas/arquivos/resolucoes/BR/2026/2471_2026.pdf" TargetMode="External"/><Relationship Id="rId83" Type="http://schemas.openxmlformats.org/officeDocument/2006/relationships/hyperlink" Target="https://sistemas.cfm.org.br/normas/arquivos/resolucoes/BR/2026/2469_2026.pdf" TargetMode="External"/><Relationship Id="rId84" Type="http://schemas.openxmlformats.org/officeDocument/2006/relationships/hyperlink" Target="https://sistemas.cfm.org.br/normas/arquivos/resolucoes/BR/2026/2470_2026.pdf" TargetMode="External"/><Relationship Id="rId85" Type="http://schemas.openxmlformats.org/officeDocument/2006/relationships/hyperlink" Target="https://www.gov.br/anvisa/pt-br/assuntos/medicamentos/novos-medicamentos-e-indicacoes/etcamah-r-camizestranto" TargetMode="External"/><Relationship Id="rId86" Type="http://schemas.openxmlformats.org/officeDocument/2006/relationships/hyperlink" Target="https://www.gov.br/anvisa/pt-br/assuntos/medicamentos/novos-medicamentos-e-indicacoes/yorvipath-r-palopegteriparatida" TargetMode="External"/><Relationship Id="rId87" Type="http://schemas.openxmlformats.org/officeDocument/2006/relationships/hyperlink" Target="https://www.gov.br/anvisa/pt-br/assuntos/medicamentos/novos-medicamentos-e-indicacoes/kyinsu" TargetMode="External"/><Relationship Id="rId88" Type="http://schemas.openxmlformats.org/officeDocument/2006/relationships/hyperlink" Target="https://www.gov.br/anvisa/pt-br/assuntos/medicamentos/novos-medicamentos-e-indicacoes/capvaxive" TargetMode="External"/><Relationship Id="rId89" Type="http://schemas.openxmlformats.org/officeDocument/2006/relationships/hyperlink" Target="https://www.gov.br/anvisa/pt-br/assuntos/noticias-anvisa/2026/anvisa-aprova-novas-indicacoes-terapeuticas-para-medicamento-trodelvy" TargetMode="External"/><Relationship Id="rId90" Type="http://schemas.openxmlformats.org/officeDocument/2006/relationships/hyperlink" Target="https://www.gov.br/anvisa/pt-br/assuntos/noticias-anvisa/anvisa-aprova-novo-medicamento-para-toxicidade-por-metotrexato" TargetMode="External"/><Relationship Id="rId91" Type="http://schemas.openxmlformats.org/officeDocument/2006/relationships/hyperlink" Target="https://www.gov.br/anvisa/pt-br/assuntos/noticias-anvisa/2026/anvisa-aprova-medicamento-para-prevencao-de-enxaqueca" TargetMode="External"/><Relationship Id="rId92" Type="http://schemas.openxmlformats.org/officeDocument/2006/relationships/hyperlink" Target="https://www.gov.br/anvisa/pt-br/assuntos/noticias-anvisa/anvisa-aprova-dois-genericos-de-liraglutida" TargetMode="External"/><Relationship Id="rId93" Type="http://schemas.openxmlformats.org/officeDocument/2006/relationships/hyperlink" Target="https://www.gov.br/anvisa/pt-br/assuntos/noticias-anvisa/2026/anvisa-autoriza-ampliacao-de-uso-de-vacina-contra-meningite" TargetMode="External"/><Relationship Id="rId94" Type="http://schemas.openxmlformats.org/officeDocument/2006/relationships/hyperlink" Target="https://www.gov.br/anvisa/pt-br/assuntos/noticias-anvisa/2026/anvisa-proibe-lotes-irregulares-de-medicamento-para-esclerose-multipla" TargetMode="External"/><Relationship Id="rId95" Type="http://schemas.openxmlformats.org/officeDocument/2006/relationships/hyperlink" Target="https://www.gov.br/anvisa/pt-br/assuntos/noticias-anvisa/2026/inicio-de-nova-etapa-do-sncr-o-que-muda-a-partir-de-30-de-setembro" TargetMode="External"/><Relationship Id="rId96" Type="http://schemas.openxmlformats.org/officeDocument/2006/relationships/hyperlink" Target="https://www.gov.br/anvisa/pt-br/assuntos/noticias-anvisa/2026/anvisa-proibe-caneta-emagrecedora-t36" TargetMode="External"/><Relationship Id="rId97" Type="http://schemas.openxmlformats.org/officeDocument/2006/relationships/hyperlink" Target="https://www.gov.br/anvisa/pt-br/assuntos/noticias-anvisa/2026/anvisa-proibe-propaganda-da-caneta-semavy" TargetMode="External"/><Relationship Id="rId98" Type="http://schemas.openxmlformats.org/officeDocument/2006/relationships/hyperlink" Target="https://www.gov.br/anvisa/pt-br/assuntos/noticias-anvisa/2026/anvisa-determina-interdicao-cautelar-de-antibiotico-intravenoso" TargetMode="External"/><Relationship Id="rId99" Type="http://schemas.openxmlformats.org/officeDocument/2006/relationships/hyperlink" Target="https://www.gov.br/anvisa/pt-br/assuntos/composicao/diretoria-colegiada/reunioes-da-diretoria/processos/copy_of_2026/processos-deliberados-na-18a-reuniao-ordinaria-publica-de-30-de-setembro-de-202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