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96E2B" w14:textId="77777777" w:rsidR="00122BCF" w:rsidRDefault="0027215F">
      <w:pPr>
        <w:spacing w:after="80"/>
        <w:jc w:val="center"/>
      </w:pPr>
      <w:r>
        <w:rPr>
          <w:noProof/>
        </w:rPr>
        <w:drawing>
          <wp:inline distT="0" distB="0" distL="0" distR="0" wp14:anchorId="07D5509F" wp14:editId="1D829A03">
            <wp:extent cx="6309360" cy="1658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65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45FCE" w14:textId="77777777" w:rsidR="00122BCF" w:rsidRDefault="0027215F">
      <w:pPr>
        <w:spacing w:after="80"/>
        <w:jc w:val="center"/>
      </w:pPr>
      <w:r>
        <w:rPr>
          <w:color w:val="5A6B7B"/>
          <w:sz w:val="17"/>
        </w:rPr>
        <w:t>Edição nº 1 — Período de referência: Outubro 2026</w:t>
      </w:r>
    </w:p>
    <w:tbl>
      <w:tblPr>
        <w:tblW w:w="0" w:type="auto"/>
        <w:jc w:val="center"/>
        <w:tblBorders>
          <w:top w:val="single" w:sz="4" w:space="0" w:color="00A4D6"/>
          <w:left w:val="single" w:sz="4" w:space="0" w:color="00A4D6"/>
          <w:bottom w:val="single" w:sz="4" w:space="0" w:color="00A4D6"/>
          <w:right w:val="single" w:sz="4" w:space="0" w:color="00A4D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26"/>
      </w:tblGrid>
      <w:tr w:rsidR="00122BCF" w14:paraId="437674E5" w14:textId="77777777">
        <w:trPr>
          <w:jc w:val="center"/>
        </w:trPr>
        <w:tc>
          <w:tcPr>
            <w:tcW w:w="9936" w:type="dxa"/>
            <w:shd w:val="clear" w:color="auto" w:fill="00A4D6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06C492A" w14:textId="77777777" w:rsidR="00122BCF" w:rsidRDefault="0027215F">
            <w:pPr>
              <w:spacing w:after="40"/>
              <w:jc w:val="center"/>
            </w:pPr>
            <w:r>
              <w:rPr>
                <w:b/>
                <w:color w:val="0A243B"/>
                <w:sz w:val="30"/>
              </w:rPr>
              <w:t>BOLETIM MENSAL DE DIREITO DA SAÚDE · EDIÇÃO Nº 1</w:t>
            </w:r>
          </w:p>
          <w:p w14:paraId="153F9652" w14:textId="77777777" w:rsidR="00122BCF" w:rsidRDefault="0027215F">
            <w:pPr>
              <w:spacing w:after="0"/>
              <w:jc w:val="center"/>
            </w:pPr>
            <w:r>
              <w:rPr>
                <w:b/>
                <w:color w:val="0A243B"/>
                <w:sz w:val="19"/>
              </w:rPr>
              <w:t>Período de referência: Outubro 2026</w:t>
            </w:r>
          </w:p>
        </w:tc>
      </w:tr>
    </w:tbl>
    <w:p w14:paraId="326F5C5E" w14:textId="77777777" w:rsidR="00122BCF" w:rsidRDefault="00122BCF">
      <w:pPr>
        <w:spacing w:after="40"/>
      </w:pPr>
    </w:p>
    <w:p w14:paraId="7537608E" w14:textId="77777777" w:rsidR="00122BCF" w:rsidRDefault="0027215F">
      <w:pPr>
        <w:spacing w:before="120" w:after="60"/>
      </w:pPr>
      <w:r>
        <w:rPr>
          <w:b/>
          <w:color w:val="044E93"/>
          <w:sz w:val="17"/>
        </w:rPr>
        <w:t>COMO LER ESTA EDIÇÃO</w:t>
      </w:r>
    </w:p>
    <w:tbl>
      <w:tblPr>
        <w:tblW w:w="0" w:type="auto"/>
        <w:jc w:val="center"/>
        <w:tblBorders>
          <w:top w:val="single" w:sz="4" w:space="0" w:color="D3DEE8"/>
          <w:left w:val="single" w:sz="4" w:space="0" w:color="D3DEE8"/>
          <w:bottom w:val="single" w:sz="4" w:space="0" w:color="D3DEE8"/>
          <w:right w:val="single" w:sz="4" w:space="0" w:color="D3DEE8"/>
          <w:insideH w:val="nil"/>
          <w:insideV w:val="single" w:sz="4" w:space="0" w:color="D3DEE8"/>
        </w:tblBorders>
        <w:tblLook w:val="04A0" w:firstRow="1" w:lastRow="0" w:firstColumn="1" w:lastColumn="0" w:noHBand="0" w:noVBand="1"/>
      </w:tblPr>
      <w:tblGrid>
        <w:gridCol w:w="4896"/>
        <w:gridCol w:w="4896"/>
      </w:tblGrid>
      <w:tr w:rsidR="00122BCF" w14:paraId="0FCA2BBA" w14:textId="77777777">
        <w:trPr>
          <w:jc w:val="center"/>
        </w:trPr>
        <w:tc>
          <w:tcPr>
            <w:tcW w:w="4896" w:type="dxa"/>
            <w:shd w:val="clear" w:color="auto" w:fill="F7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8022B1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</w:p>
          <w:p w14:paraId="16BFCAED" w14:textId="77777777" w:rsidR="00122BCF" w:rsidRDefault="0027215F">
            <w:pPr>
              <w:spacing w:after="0"/>
              <w:jc w:val="both"/>
            </w:pPr>
            <w:r>
              <w:rPr>
                <w:sz w:val="17"/>
              </w:rPr>
              <w:t>Conteúdo do Sistema Único de Saúde — atos e demandas afetos à Justiça Federal (União, entes públicos, incorporação de tecnologias, fornecimento). Faixa lateral em azul institucional.</w:t>
            </w:r>
          </w:p>
        </w:tc>
        <w:tc>
          <w:tcPr>
            <w:tcW w:w="4896" w:type="dxa"/>
            <w:shd w:val="clear" w:color="auto" w:fill="F7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D8ABC8" w14:textId="77777777" w:rsidR="00122BCF" w:rsidRDefault="0027215F">
            <w:pPr>
              <w:spacing w:after="6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</w:p>
          <w:p w14:paraId="5142EEA6" w14:textId="77777777" w:rsidR="00122BCF" w:rsidRDefault="0027215F">
            <w:pPr>
              <w:spacing w:after="0"/>
              <w:jc w:val="both"/>
            </w:pPr>
            <w:r>
              <w:rPr>
                <w:sz w:val="17"/>
              </w:rPr>
              <w:t>Conteúdo de saúde suplementar — atos da ANS e demandas relativas a planos e seguros privados de assistência à saúde, predominantemente afetas à Justiça Estadual. Faixa lateral em azul-marinho.</w:t>
            </w:r>
          </w:p>
        </w:tc>
      </w:tr>
    </w:tbl>
    <w:p w14:paraId="59FC34BE" w14:textId="77777777" w:rsidR="00122BCF" w:rsidRDefault="0027215F">
      <w:pPr>
        <w:spacing w:before="60" w:after="80"/>
        <w:jc w:val="both"/>
      </w:pPr>
      <w:r>
        <w:rPr>
          <w:i/>
          <w:color w:val="5A6B7B"/>
          <w:sz w:val="17"/>
        </w:rPr>
        <w:t>Cada ficha e cada bloco trazem o selo de âmbito, e a cor da faixa lateral acompanha o selo. A segregação por âmbito é meramente organizativa e não altera o caráter informativo da publicação.</w:t>
      </w:r>
    </w:p>
    <w:p w14:paraId="3B804360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0A243B"/>
          <w:left w:val="single" w:sz="4" w:space="0" w:color="0A243B"/>
          <w:bottom w:val="single" w:sz="4" w:space="0" w:color="0A243B"/>
          <w:right w:val="single" w:sz="4" w:space="0" w:color="0A243B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26"/>
      </w:tblGrid>
      <w:tr w:rsidR="00122BCF" w14:paraId="65D2DD22" w14:textId="77777777">
        <w:trPr>
          <w:jc w:val="center"/>
        </w:trPr>
        <w:tc>
          <w:tcPr>
            <w:tcW w:w="9936" w:type="dxa"/>
            <w:shd w:val="clear" w:color="auto" w:fill="0A243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A5985C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20"/>
              </w:rPr>
              <w:t>NESTA EDIÇÃO</w:t>
            </w:r>
          </w:p>
        </w:tc>
      </w:tr>
    </w:tbl>
    <w:p w14:paraId="657A47C7" w14:textId="77777777" w:rsidR="00122BCF" w:rsidRDefault="00122BCF">
      <w:pPr>
        <w:pBdr>
          <w:bottom w:val="single" w:sz="4" w:space="5" w:color="D3DEE8"/>
        </w:pBdr>
        <w:tabs>
          <w:tab w:val="left" w:pos="560"/>
          <w:tab w:val="right" w:pos="9936"/>
        </w:tabs>
        <w:spacing w:before="90" w:after="0"/>
      </w:pPr>
      <w:hyperlink w:anchor="_RS_sec1" w:history="1">
        <w:r>
          <w:rPr>
            <w:b/>
            <w:color w:val="00A4D6"/>
            <w:sz w:val="19"/>
          </w:rPr>
          <w:t>01</w:t>
        </w:r>
        <w:r>
          <w:rPr>
            <w:sz w:val="19"/>
          </w:rPr>
          <w:tab/>
        </w:r>
        <w:r>
          <w:rPr>
            <w:b/>
            <w:color w:val="0A243B"/>
            <w:sz w:val="19"/>
          </w:rPr>
          <w:t>Sumário Executivo</w:t>
        </w:r>
        <w:r>
          <w:rPr>
            <w:color w:val="5A6B7B"/>
            <w:sz w:val="17"/>
          </w:rPr>
          <w:t xml:space="preserve">   Visão geral</w:t>
        </w:r>
        <w:r>
          <w:rPr>
            <w:color w:val="00A4D6"/>
            <w:sz w:val="19"/>
          </w:rPr>
          <w:tab/>
        </w:r>
        <w:r>
          <w:rPr>
            <w:rFonts w:ascii="Arial" w:hAnsi="Arial"/>
            <w:b/>
            <w:color w:val="00A4D6"/>
            <w:sz w:val="26"/>
          </w:rPr>
          <w:t>→</w:t>
        </w:r>
      </w:hyperlink>
    </w:p>
    <w:p w14:paraId="1F2082C0" w14:textId="77777777" w:rsidR="00122BCF" w:rsidRDefault="00122BCF">
      <w:pPr>
        <w:pBdr>
          <w:bottom w:val="single" w:sz="4" w:space="5" w:color="D3DEE8"/>
        </w:pBdr>
        <w:tabs>
          <w:tab w:val="left" w:pos="560"/>
          <w:tab w:val="right" w:pos="9936"/>
        </w:tabs>
        <w:spacing w:before="90" w:after="0"/>
      </w:pPr>
      <w:hyperlink w:anchor="_RS_sec2" w:history="1">
        <w:r>
          <w:rPr>
            <w:b/>
            <w:color w:val="00A4D6"/>
            <w:sz w:val="19"/>
          </w:rPr>
          <w:t>02</w:t>
        </w:r>
        <w:r>
          <w:rPr>
            <w:sz w:val="19"/>
          </w:rPr>
          <w:tab/>
        </w:r>
        <w:r>
          <w:rPr>
            <w:b/>
            <w:color w:val="0A243B"/>
            <w:sz w:val="19"/>
          </w:rPr>
          <w:t>Jurisprudência</w:t>
        </w:r>
        <w:r>
          <w:rPr>
            <w:color w:val="5A6B7B"/>
            <w:sz w:val="17"/>
          </w:rPr>
          <w:t xml:space="preserve">   1 STF · 2 STJ · 2 TRF6</w:t>
        </w:r>
        <w:r>
          <w:rPr>
            <w:color w:val="00A4D6"/>
            <w:sz w:val="19"/>
          </w:rPr>
          <w:tab/>
        </w:r>
        <w:r>
          <w:rPr>
            <w:rFonts w:ascii="Arial" w:hAnsi="Arial"/>
            <w:b/>
            <w:color w:val="00A4D6"/>
            <w:sz w:val="26"/>
          </w:rPr>
          <w:t>→</w:t>
        </w:r>
      </w:hyperlink>
    </w:p>
    <w:p w14:paraId="3D44B0FA" w14:textId="77777777" w:rsidR="00122BCF" w:rsidRDefault="00122BCF">
      <w:pPr>
        <w:pBdr>
          <w:bottom w:val="single" w:sz="4" w:space="5" w:color="D3DEE8"/>
        </w:pBdr>
        <w:tabs>
          <w:tab w:val="left" w:pos="560"/>
          <w:tab w:val="right" w:pos="9936"/>
        </w:tabs>
        <w:spacing w:before="90" w:after="0"/>
      </w:pPr>
      <w:hyperlink w:anchor="_RS_sec3" w:history="1">
        <w:r>
          <w:rPr>
            <w:b/>
            <w:color w:val="00A4D6"/>
            <w:sz w:val="19"/>
          </w:rPr>
          <w:t>03</w:t>
        </w:r>
        <w:r>
          <w:rPr>
            <w:sz w:val="19"/>
          </w:rPr>
          <w:tab/>
        </w:r>
        <w:r>
          <w:rPr>
            <w:b/>
            <w:color w:val="0A243B"/>
            <w:sz w:val="19"/>
          </w:rPr>
          <w:t>e-NatJus / Evidências Técnico-Científicas</w:t>
        </w:r>
        <w:r>
          <w:rPr>
            <w:color w:val="5A6B7B"/>
            <w:sz w:val="17"/>
          </w:rPr>
          <w:t xml:space="preserve">   sem registros</w:t>
        </w:r>
        <w:r>
          <w:rPr>
            <w:color w:val="00A4D6"/>
            <w:sz w:val="19"/>
          </w:rPr>
          <w:tab/>
        </w:r>
        <w:r>
          <w:rPr>
            <w:rFonts w:ascii="Arial" w:hAnsi="Arial"/>
            <w:b/>
            <w:color w:val="00A4D6"/>
            <w:sz w:val="26"/>
          </w:rPr>
          <w:t>→</w:t>
        </w:r>
      </w:hyperlink>
    </w:p>
    <w:p w14:paraId="0F464DA0" w14:textId="77777777" w:rsidR="00122BCF" w:rsidRDefault="00122BCF">
      <w:pPr>
        <w:pBdr>
          <w:bottom w:val="single" w:sz="4" w:space="5" w:color="D3DEE8"/>
        </w:pBdr>
        <w:tabs>
          <w:tab w:val="left" w:pos="560"/>
          <w:tab w:val="right" w:pos="9936"/>
        </w:tabs>
        <w:spacing w:before="90" w:after="0"/>
      </w:pPr>
      <w:hyperlink w:anchor="_RS_sec4" w:history="1">
        <w:r>
          <w:rPr>
            <w:b/>
            <w:color w:val="00A4D6"/>
            <w:sz w:val="19"/>
          </w:rPr>
          <w:t>04</w:t>
        </w:r>
        <w:r>
          <w:rPr>
            <w:sz w:val="19"/>
          </w:rPr>
          <w:tab/>
        </w:r>
        <w:r>
          <w:rPr>
            <w:b/>
            <w:color w:val="0A243B"/>
            <w:sz w:val="19"/>
          </w:rPr>
          <w:t>Legislação e Atos Normativos</w:t>
        </w:r>
        <w:r>
          <w:rPr>
            <w:color w:val="5A6B7B"/>
            <w:sz w:val="17"/>
          </w:rPr>
          <w:t xml:space="preserve">   2 MS · 24 CONITEC · 5 CP · 4 ANS</w:t>
        </w:r>
        <w:r>
          <w:rPr>
            <w:color w:val="00A4D6"/>
            <w:sz w:val="19"/>
          </w:rPr>
          <w:tab/>
        </w:r>
        <w:r>
          <w:rPr>
            <w:rFonts w:ascii="Arial" w:hAnsi="Arial"/>
            <w:b/>
            <w:color w:val="00A4D6"/>
            <w:sz w:val="26"/>
          </w:rPr>
          <w:t>→</w:t>
        </w:r>
      </w:hyperlink>
    </w:p>
    <w:p w14:paraId="171CAEB2" w14:textId="77777777" w:rsidR="00122BCF" w:rsidRDefault="00122BCF">
      <w:pPr>
        <w:pBdr>
          <w:bottom w:val="single" w:sz="4" w:space="5" w:color="D3DEE8"/>
        </w:pBdr>
        <w:tabs>
          <w:tab w:val="left" w:pos="560"/>
          <w:tab w:val="right" w:pos="9936"/>
        </w:tabs>
        <w:spacing w:before="90" w:after="0"/>
      </w:pPr>
      <w:hyperlink w:anchor="_RS_sec5" w:history="1">
        <w:r>
          <w:rPr>
            <w:b/>
            <w:color w:val="00A4D6"/>
            <w:sz w:val="19"/>
          </w:rPr>
          <w:t>05</w:t>
        </w:r>
        <w:r>
          <w:rPr>
            <w:sz w:val="19"/>
          </w:rPr>
          <w:tab/>
        </w:r>
        <w:r>
          <w:rPr>
            <w:b/>
            <w:color w:val="0A243B"/>
            <w:sz w:val="19"/>
          </w:rPr>
          <w:t>Iniciativas Institucionais e Boas Práticas</w:t>
        </w:r>
        <w:r>
          <w:rPr>
            <w:color w:val="5A6B7B"/>
            <w:sz w:val="17"/>
          </w:rPr>
          <w:t xml:space="preserve">   8 iniciativas</w:t>
        </w:r>
        <w:r>
          <w:rPr>
            <w:color w:val="00A4D6"/>
            <w:sz w:val="19"/>
          </w:rPr>
          <w:tab/>
        </w:r>
        <w:r>
          <w:rPr>
            <w:rFonts w:ascii="Arial" w:hAnsi="Arial"/>
            <w:b/>
            <w:color w:val="00A4D6"/>
            <w:sz w:val="26"/>
          </w:rPr>
          <w:t>→</w:t>
        </w:r>
      </w:hyperlink>
    </w:p>
    <w:p w14:paraId="4266A5A6" w14:textId="77777777" w:rsidR="00122BCF" w:rsidRDefault="00122BCF">
      <w:pPr>
        <w:pBdr>
          <w:bottom w:val="single" w:sz="4" w:space="5" w:color="D3DEE8"/>
        </w:pBdr>
        <w:tabs>
          <w:tab w:val="left" w:pos="560"/>
          <w:tab w:val="right" w:pos="9936"/>
        </w:tabs>
        <w:spacing w:before="90" w:after="0"/>
      </w:pPr>
      <w:hyperlink w:anchor="_RS_sec6" w:history="1">
        <w:r>
          <w:rPr>
            <w:b/>
            <w:color w:val="00A4D6"/>
            <w:sz w:val="19"/>
          </w:rPr>
          <w:t>06</w:t>
        </w:r>
        <w:r>
          <w:rPr>
            <w:sz w:val="19"/>
          </w:rPr>
          <w:tab/>
        </w:r>
        <w:r>
          <w:rPr>
            <w:b/>
            <w:color w:val="0A243B"/>
            <w:sz w:val="19"/>
          </w:rPr>
          <w:t>ANVISA — Novos Registros e Indicações</w:t>
        </w:r>
        <w:r>
          <w:rPr>
            <w:color w:val="5A6B7B"/>
            <w:sz w:val="17"/>
          </w:rPr>
          <w:t xml:space="preserve">   6 registros · 5 medidas</w:t>
        </w:r>
        <w:r>
          <w:rPr>
            <w:color w:val="00A4D6"/>
            <w:sz w:val="19"/>
          </w:rPr>
          <w:tab/>
        </w:r>
        <w:r>
          <w:rPr>
            <w:rFonts w:ascii="Arial" w:hAnsi="Arial"/>
            <w:b/>
            <w:color w:val="00A4D6"/>
            <w:sz w:val="26"/>
          </w:rPr>
          <w:t>→</w:t>
        </w:r>
      </w:hyperlink>
    </w:p>
    <w:p w14:paraId="76EDB9FA" w14:textId="77777777" w:rsidR="00122BCF" w:rsidRDefault="00122BCF">
      <w:pPr>
        <w:spacing w:after="120"/>
      </w:pPr>
    </w:p>
    <w:p w14:paraId="1904A282" w14:textId="77777777" w:rsidR="00122BCF" w:rsidRDefault="0027215F">
      <w:pPr>
        <w:pBdr>
          <w:bottom w:val="single" w:sz="12" w:space="4" w:color="044E93"/>
        </w:pBdr>
        <w:spacing w:before="200" w:after="100"/>
      </w:pPr>
      <w:bookmarkStart w:id="0" w:name="_RS_sec1"/>
      <w:r>
        <w:rPr>
          <w:b/>
          <w:color w:val="044E93"/>
          <w:sz w:val="26"/>
        </w:rPr>
        <w:t>1. Sumário Executivo</w:t>
      </w:r>
      <w:bookmarkEnd w:id="0"/>
    </w:p>
    <w:p w14:paraId="61DB2446" w14:textId="77777777" w:rsidR="00122BCF" w:rsidRDefault="0027215F">
      <w:pPr>
        <w:spacing w:after="100"/>
        <w:jc w:val="both"/>
      </w:pPr>
      <w:r>
        <w:rPr>
          <w:b/>
          <w:sz w:val="20"/>
        </w:rPr>
        <w:t>Jurisprudência.</w:t>
      </w:r>
      <w:r>
        <w:rPr>
          <w:sz w:val="20"/>
        </w:rPr>
        <w:t xml:space="preserve"> O Supremo Tribunal Federal reconheceu repercussão geral no Tema 1.491, sobre os limites da revisão judicial da Tabela SUS por equiparação à Tabela Única Nacional de Equivalência de Procedimentos (TUNEP) e ao Índice de Valoração de Ressarcimento (IVR), e a repartição federativa dos encargos na remuneração de prestadores complementares. O Superior Tribunal de Justiça fixou, no Tema de Relevância 1.479, que as operadoras de planos de saúde não estão obrigadas a custear medicamentos à base de canabidiol para u</w:t>
      </w:r>
      <w:r>
        <w:rPr>
          <w:sz w:val="20"/>
        </w:rPr>
        <w:t>so domiciliar sem previsão legal ou contratual. O Tribunal Regional Federal da 6ª Região decidiu dois casos de âmbito SUS relativos à política de isolamento compulsório da hanseníase.</w:t>
      </w:r>
    </w:p>
    <w:p w14:paraId="2F0B8379" w14:textId="77777777" w:rsidR="00122BCF" w:rsidRDefault="0027215F">
      <w:pPr>
        <w:spacing w:after="100"/>
        <w:jc w:val="both"/>
      </w:pPr>
      <w:r>
        <w:rPr>
          <w:b/>
          <w:sz w:val="20"/>
        </w:rPr>
        <w:t>Evidências (e-NatJus).</w:t>
      </w:r>
      <w:r>
        <w:rPr>
          <w:sz w:val="20"/>
        </w:rPr>
        <w:t xml:space="preserve"> Não houve publicação de revisão sistemática nova na Área Pública do e-NatJus no período de referência. A última revisão disponível é a de ID 166, de 23/09/2026.</w:t>
      </w:r>
    </w:p>
    <w:p w14:paraId="67BF7DF7" w14:textId="77777777" w:rsidR="00122BCF" w:rsidRDefault="0027215F">
      <w:pPr>
        <w:spacing w:after="100"/>
        <w:jc w:val="both"/>
      </w:pPr>
      <w:r>
        <w:rPr>
          <w:b/>
          <w:sz w:val="20"/>
        </w:rPr>
        <w:lastRenderedPageBreak/>
        <w:t>Legislação.</w:t>
      </w:r>
      <w:r>
        <w:rPr>
          <w:sz w:val="20"/>
        </w:rPr>
        <w:t xml:space="preserve"> Não houve publicação de lei ordinária federal com interface em Direito da Saúde no período. A última lei ordinária publicada é a Lei nº 15.526, de 29/09/2026, sem interface com a matéria.</w:t>
      </w:r>
    </w:p>
    <w:p w14:paraId="385051BC" w14:textId="77777777" w:rsidR="00122BCF" w:rsidRDefault="0027215F">
      <w:pPr>
        <w:spacing w:after="100"/>
        <w:jc w:val="both"/>
      </w:pPr>
      <w:r>
        <w:rPr>
          <w:b/>
          <w:sz w:val="20"/>
        </w:rPr>
        <w:t>Atos do Executivo.</w:t>
      </w:r>
      <w:r>
        <w:rPr>
          <w:sz w:val="20"/>
        </w:rPr>
        <w:t xml:space="preserve"> O Ministério da Saúde instituiu a Política Nacional de Informação e Saúde Digital no âmbito do SUS e iniciou a oferta efetiva de nove medicamentos oncológicos já incorporados, no âmbito da Assistência Farmacêutica Oncológica. A SCTIE/MS publicou três portarias de decisão sobre incorporação — hemoglobinúria paroxística noturna, distratores ósseos para craniossinostose e cateter de tomografia de coerência óptica — e, em conjunto com a SAES/MS, vinte e uma portarias de aprovação de protocolos clínicos, diretr</w:t>
      </w:r>
      <w:r>
        <w:rPr>
          <w:sz w:val="20"/>
        </w:rPr>
        <w:t>izes terapêuticas e protocolos de uso, majoritariamente em oncologia, cuja regulamentação na Tabela SUS veio nas Portarias GM/MS nº 12.303 a 12.315 e nº 12.318. Cinco consultas públicas de incorporação permaneceram abertas no período. A Agência Nacional de Saúde Suplementar incluiu dois procedimentos no Rol, com cobertura obrigatória a partir de 03/11/2026, e abriu consulta pública sobre o Monitoramento da Garantia de Atendimento.</w:t>
      </w:r>
    </w:p>
    <w:p w14:paraId="7C5C6D70" w14:textId="77777777" w:rsidR="00122BCF" w:rsidRDefault="0027215F">
      <w:pPr>
        <w:spacing w:after="100"/>
        <w:jc w:val="both"/>
      </w:pPr>
      <w:r>
        <w:rPr>
          <w:b/>
          <w:sz w:val="20"/>
        </w:rPr>
        <w:t>Iniciativas institucionais.</w:t>
      </w:r>
      <w:r>
        <w:rPr>
          <w:sz w:val="20"/>
        </w:rPr>
        <w:t xml:space="preserve"> O Conselho Nacional de Justiça anunciou a Semana Nacional de Conciliação em Saúde Suplementar, de 9 a 13 de novembro, e realizou edição do Fonajus Itinerante no Ceará. A Diretoria Colegiada da ANS aprovou a celebração de acordo de cooperação técnica com o Tribunal Regional Federal da 5ª Região, no âmbito do Programa Parceiros da Cidadania. O Tribunal Regional Federal da 3ª Região instituiu o Núcleo de Apoio Técnico do Judiciário em Saúde da Justiça Federal da 3ª Região (NatJus3R) e firmou os dois primeiros</w:t>
      </w:r>
      <w:r>
        <w:rPr>
          <w:sz w:val="20"/>
        </w:rPr>
        <w:t xml:space="preserve"> acordos de cooperação técnica para a produção de pareceres, com o A.C. Camargo Cancer Center e com a Universidade Federal de Mato Grosso do Sul. O Tribunal Regional Federal da 6ª Região estruturou fluxo de conciliação em processos de pessoas atingidas pelo isolamento compulsório da hanseníase. O Conselho Federal de Medicina homologou a relação atualizada de especialidades médicas e áreas de atuação.</w:t>
      </w:r>
    </w:p>
    <w:p w14:paraId="00DF6138" w14:textId="77777777" w:rsidR="00122BCF" w:rsidRDefault="0027215F">
      <w:pPr>
        <w:spacing w:after="100"/>
        <w:jc w:val="both"/>
      </w:pPr>
      <w:r>
        <w:rPr>
          <w:b/>
          <w:sz w:val="20"/>
        </w:rPr>
        <w:t>Fontes.</w:t>
      </w:r>
      <w:r>
        <w:rPr>
          <w:sz w:val="20"/>
        </w:rPr>
        <w:t xml:space="preserve"> Citação às fontes primárias oficiais (Planalto, DOU, portais do STF, do STJ, da CONITEC, da ANS e da ANVISA), conforme o item 6.4 do Plano de Trabalho.</w:t>
      </w:r>
    </w:p>
    <w:p w14:paraId="14A15AD1" w14:textId="77777777" w:rsidR="00122BCF" w:rsidRDefault="0027215F">
      <w:pPr>
        <w:pBdr>
          <w:bottom w:val="single" w:sz="12" w:space="4" w:color="044E93"/>
        </w:pBdr>
        <w:spacing w:before="200" w:after="100"/>
      </w:pPr>
      <w:bookmarkStart w:id="1" w:name="_RS_sec2"/>
      <w:r>
        <w:rPr>
          <w:b/>
          <w:color w:val="044E93"/>
          <w:sz w:val="26"/>
        </w:rPr>
        <w:t>2. Jurisprudência</w:t>
      </w:r>
      <w:bookmarkEnd w:id="1"/>
    </w:p>
    <w:p w14:paraId="0D25C39F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2.1 Jurisprudência</w:t>
      </w:r>
      <w:r>
        <w:t xml:space="preserve">  </w:t>
      </w:r>
      <w:r>
        <w:rPr>
          <w:b/>
          <w:color w:val="044E93"/>
          <w:sz w:val="14"/>
          <w:shd w:val="clear" w:color="auto" w:fill="DFF2FA"/>
        </w:rPr>
        <w:t xml:space="preserve"> SUS </w:t>
      </w:r>
    </w:p>
    <w:p w14:paraId="7CCE5282" w14:textId="77777777" w:rsidR="00122BCF" w:rsidRDefault="0027215F">
      <w:pPr>
        <w:spacing w:before="100" w:after="60"/>
      </w:pPr>
      <w:r>
        <w:rPr>
          <w:b/>
          <w:color w:val="044E93"/>
          <w:sz w:val="20"/>
        </w:rPr>
        <w:t>Supremo Tribunal Federal (STF)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7"/>
        <w:gridCol w:w="7674"/>
      </w:tblGrid>
      <w:tr w:rsidR="00122BCF" w14:paraId="54A95532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404013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REPERCUSSÃO GERAL — STF · RE 1.612.904/DF (TEMA 1.491)</w:t>
            </w:r>
          </w:p>
          <w:p w14:paraId="45E6D7EB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 1.612.904/DF — Supremo Tribunal Federal — Plenário Virtual — Rel. Min. Gilmar Mendes — sessão de 09 a 19/10/2026 — acórdão de repercussão geral publicado em 23/10/2026</w:t>
            </w:r>
          </w:p>
          <w:p w14:paraId="43F622FE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Revisão judicial da Tabela SUS por equiparação à TUNEP/IVR e repartição federativa dos encargos na remuneração de prestadores complementares do SUS.</w:t>
            </w:r>
          </w:p>
        </w:tc>
      </w:tr>
      <w:tr w:rsidR="00122BCF" w14:paraId="2A90A679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7F3640B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Órgão Julgador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F5DBFB7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Supremo Tribunal Federal — Plenário (Plenário Virtual)</w:t>
            </w:r>
          </w:p>
        </w:tc>
      </w:tr>
      <w:tr w:rsidR="00122BCF" w14:paraId="188AB280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0A4F4561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Relator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E25506A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Min. Gilmar Mendes</w:t>
            </w:r>
          </w:p>
        </w:tc>
      </w:tr>
      <w:tr w:rsidR="00122BCF" w14:paraId="680BAB62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BEE90A0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Tese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2A2EFF7A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Repercussão geral reconhecida, por maioria, vencido o Min. Luiz Fux, das controvérsias referentes: (I) aos limites da revisão judicial da Tabela SUS mediante equiparação à TUNEP/IVR; (II) à repartição, entre os entes federativos, dos encargos financeiros decorrentes dessa revisão; (III) à definição dos entes que devem integrar o polo passivo das demandas; e (IV) à observância da cláusula de reserva de plenário. O Tribunal não reafirmou jurisprudência; o mérito será julgado pelo Plenário.</w:t>
            </w:r>
          </w:p>
        </w:tc>
      </w:tr>
      <w:tr w:rsidR="00122BCF" w14:paraId="0EAF57A7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2BAB40E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6F9A54AD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 xml:space="preserve">Interface com ações de entidades privadas prestadoras de serviços ao SUS </w:t>
            </w:r>
            <w:r>
              <w:rPr>
                <w:sz w:val="19"/>
              </w:rPr>
              <w:lastRenderedPageBreak/>
              <w:t>contra a União na Justiça Federal, inclusive quanto ao litisconsórcio com o ente contratante. No acórdão recorrido, o Superior Tribunal de Justiça exigiu litisconsórcio passivo necessário entre a União e o estado ou município contratante. A matéria fora reputada infraconstitucional no Tema 1.133 (ARE 1.301.749, 2021).</w:t>
            </w:r>
          </w:p>
        </w:tc>
      </w:tr>
      <w:tr w:rsidR="00122BCF" w14:paraId="1B956445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77C25D3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67FB025" w14:textId="77777777" w:rsidR="00122BCF" w:rsidRDefault="00122BCF">
            <w:pPr>
              <w:spacing w:after="0"/>
            </w:pPr>
            <w:hyperlink r:id="rId9" w:history="1">
              <w:r>
                <w:rPr>
                  <w:color w:val="044E93"/>
                  <w:u w:val="single"/>
                </w:rPr>
                <w:t>STF — Tema 1.491 da repercussão geral</w:t>
              </w:r>
            </w:hyperlink>
            <w:r w:rsidR="0027215F">
              <w:rPr>
                <w:sz w:val="19"/>
              </w:rPr>
              <w:br/>
            </w:r>
            <w:hyperlink r:id="rId10" w:history="1">
              <w:r>
                <w:rPr>
                  <w:color w:val="044E93"/>
                  <w:u w:val="single"/>
                </w:rPr>
                <w:t>STF — RE 1.612.904 (acompanhamento processual)</w:t>
              </w:r>
            </w:hyperlink>
            <w:r w:rsidR="0027215F">
              <w:rPr>
                <w:sz w:val="19"/>
              </w:rPr>
              <w:br/>
            </w:r>
            <w:hyperlink r:id="rId11" w:history="1">
              <w:r>
                <w:rPr>
                  <w:color w:val="044E93"/>
                  <w:u w:val="single"/>
                </w:rPr>
                <w:t>STF — Manifestação do Relator sobre a repercussão geral</w:t>
              </w:r>
            </w:hyperlink>
          </w:p>
        </w:tc>
      </w:tr>
    </w:tbl>
    <w:p w14:paraId="4D34630A" w14:textId="77777777" w:rsidR="00122BCF" w:rsidRDefault="00122BCF">
      <w:pPr>
        <w:spacing w:after="120"/>
      </w:pPr>
    </w:p>
    <w:p w14:paraId="6DC84468" w14:textId="77777777" w:rsidR="00122BCF" w:rsidRDefault="0027215F">
      <w:pPr>
        <w:spacing w:before="100" w:after="60"/>
      </w:pPr>
      <w:r>
        <w:rPr>
          <w:b/>
          <w:color w:val="044E93"/>
          <w:sz w:val="20"/>
        </w:rPr>
        <w:t>Superior Tribunal de Justiça (STJ) — âmbito SUS</w:t>
      </w: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66B4C530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F53874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Nota — STJ | Âmbito SUS</w:t>
            </w:r>
          </w:p>
          <w:p w14:paraId="7883788E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>Sem registros no período. Os Informativos de Jurisprudência nº 905, 906 e 907 do Superior Tribunal de Justiça, divulgados entre 13/10 e 27/10/2026, não trazem julgado de âmbito SUS com interface em Direito da Saúde.</w:t>
            </w:r>
          </w:p>
        </w:tc>
      </w:tr>
    </w:tbl>
    <w:p w14:paraId="3FFDA7F7" w14:textId="77777777" w:rsidR="00122BCF" w:rsidRDefault="00122BCF">
      <w:pPr>
        <w:spacing w:after="120"/>
      </w:pPr>
    </w:p>
    <w:p w14:paraId="01218D4B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2.2 Jurisprudência</w:t>
      </w:r>
      <w:r>
        <w:t xml:space="preserve">  </w:t>
      </w:r>
      <w:r>
        <w:rPr>
          <w:b/>
          <w:color w:val="FFFFFF"/>
          <w:sz w:val="14"/>
          <w:shd w:val="clear" w:color="auto" w:fill="0A243B"/>
        </w:rPr>
        <w:t xml:space="preserve"> SAÚDE SUPLEMENTAR </w:t>
      </w:r>
    </w:p>
    <w:p w14:paraId="7F36328F" w14:textId="77777777" w:rsidR="00122BCF" w:rsidRDefault="0027215F">
      <w:pPr>
        <w:spacing w:before="100" w:after="60"/>
      </w:pPr>
      <w:r>
        <w:rPr>
          <w:b/>
          <w:color w:val="044E93"/>
          <w:sz w:val="20"/>
        </w:rPr>
        <w:t>Superior Tribunal de Justiça (STJ)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1674C670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3EA09E" w14:textId="77777777" w:rsidR="00122BCF" w:rsidRDefault="0027215F">
            <w:pPr>
              <w:spacing w:after="2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TEMA DE RELEVÂNCIA — STJ · RESP 2.260.165/RJ (TEMA 1.479)</w:t>
            </w:r>
          </w:p>
          <w:p w14:paraId="46A4BEC4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REsp 2.260.165/RJ — Superior Tribunal de Justiça — Segunda Seção — afetação, julgamento e publicação do acórdão em 20/10/2026</w:t>
            </w:r>
          </w:p>
          <w:p w14:paraId="39373839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Custeio, por operadoras de planos de saúde, de medicamentos à base de canabidiol para uso domiciliar.</w:t>
            </w:r>
          </w:p>
        </w:tc>
      </w:tr>
      <w:tr w:rsidR="00122BCF" w14:paraId="247FA51A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8ED8777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Órgão Julgador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6B728C5C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Superior Tribunal de Justiça — Segunda Seção (relevância reconhecida com reafirmação de jurisprudência)</w:t>
            </w:r>
          </w:p>
        </w:tc>
      </w:tr>
      <w:tr w:rsidR="00122BCF" w14:paraId="31DA464F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4FED9DB4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Relator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69C7D243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Presidente da Comissão Gestora de Precedentes</w:t>
            </w:r>
          </w:p>
        </w:tc>
      </w:tr>
      <w:tr w:rsidR="00122BCF" w14:paraId="216AF3CB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DC802BE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Tese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D1DF5C9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As operadoras de planos de saúde não estão obrigadas a custear medicamentos à base de canabidiol para uso domiciliar quando inexistir previsão legal ou contratual de cobertura, salvo nas hipóteses expressamente estabelecidas pela legislação de regência ou por normas regulatórias aplicáveis, não sendo a mera autorização de importação suficiente para ampliar o objeto do contrato ou afastar as limitações de cobertura legitimamente previstas.</w:t>
            </w:r>
          </w:p>
        </w:tc>
      </w:tr>
      <w:tr w:rsidR="00122BCF" w14:paraId="45A69C79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F176912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6026A576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Parâmetro para ações de cobertura de canabidiol de uso domiciliar na saúde suplementar; dialoga com o Tema 990/STJ. Sem ordem de sobrestamento de processos, em razão da reafirmação de jurisprudência.</w:t>
            </w:r>
          </w:p>
        </w:tc>
      </w:tr>
      <w:tr w:rsidR="00122BCF" w14:paraId="08036239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3CDAA6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240FAA42" w14:textId="77777777" w:rsidR="00122BCF" w:rsidRDefault="00122BCF">
            <w:pPr>
              <w:spacing w:after="0"/>
            </w:pPr>
            <w:hyperlink r:id="rId12" w:history="1">
              <w:r>
                <w:rPr>
                  <w:color w:val="044E93"/>
                  <w:u w:val="single"/>
                </w:rPr>
                <w:t>STJ — Precedentes Qualificados, Tema de Relevância 1.479</w:t>
              </w:r>
            </w:hyperlink>
          </w:p>
        </w:tc>
      </w:tr>
    </w:tbl>
    <w:p w14:paraId="04DBD9AF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15BB94EA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3AD22A" w14:textId="77777777" w:rsidR="00122BCF" w:rsidRDefault="0027215F">
            <w:pPr>
              <w:spacing w:after="2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JURISPRUDÊNCIA — STJ · RESP 2.080.623/SP (INFORMATIVO Nº 905)</w:t>
            </w:r>
          </w:p>
          <w:p w14:paraId="489D4297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REsp 2.080.623/SP — Superior Tribunal de Justiça — Quarta Turma — Rel. Min. João Otávio de Noronha — j. 15/06/2026 — DJEN de 18/06/2026 — Informativo nº 905, de 13/10/2026</w:t>
            </w:r>
          </w:p>
          <w:p w14:paraId="54107093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Negativa de cobertura de cirurgia de urgência por operadora de plano de saúde sob alegação de carência contratual.</w:t>
            </w:r>
          </w:p>
        </w:tc>
      </w:tr>
      <w:tr w:rsidR="00122BCF" w14:paraId="0C04DBC0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584CA2DB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Órgão Julgador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F10A133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Superior Tribunal de Justiça — Quarta Turma (unanimidade)</w:t>
            </w:r>
          </w:p>
        </w:tc>
      </w:tr>
      <w:tr w:rsidR="00122BCF" w14:paraId="1D555EDF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16F0D66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Relator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C61C1D2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Min. João Otávio de Noronha</w:t>
            </w:r>
          </w:p>
        </w:tc>
      </w:tr>
      <w:tr w:rsidR="00122BCF" w14:paraId="002D3340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F2552B9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Tese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5E36884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 negativa de cobertura por parte da operadora do plano de saúde em situações de urgência ou emergência, sob a alegação de carência contratual, é considerada indevida, acarretando danos morais indenizáveis.</w:t>
            </w:r>
          </w:p>
        </w:tc>
      </w:tr>
      <w:tr w:rsidR="00122BCF" w14:paraId="2703DF57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113C091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DCF5BDC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Parâmetro para pedidos de indenização por negativa de cobertura em urgência ou emergência na saúde suplementar.</w:t>
            </w:r>
          </w:p>
        </w:tc>
      </w:tr>
      <w:tr w:rsidR="00122BCF" w14:paraId="46E8038E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5A9BCCF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2613210F" w14:textId="77777777" w:rsidR="00122BCF" w:rsidRDefault="00122BCF">
            <w:pPr>
              <w:spacing w:after="0"/>
            </w:pPr>
            <w:hyperlink r:id="rId13" w:history="1">
              <w:r>
                <w:rPr>
                  <w:color w:val="044E93"/>
                  <w:u w:val="single"/>
                </w:rPr>
                <w:t>STJ — Informativo de Jurisprudência nº 905</w:t>
              </w:r>
            </w:hyperlink>
          </w:p>
        </w:tc>
      </w:tr>
    </w:tbl>
    <w:p w14:paraId="4DDD46E3" w14:textId="77777777" w:rsidR="00122BCF" w:rsidRDefault="00122BCF">
      <w:pPr>
        <w:spacing w:after="120"/>
      </w:pPr>
    </w:p>
    <w:p w14:paraId="3CF5464F" w14:textId="77777777" w:rsidR="00122BCF" w:rsidRDefault="0027215F">
      <w:pPr>
        <w:spacing w:before="100" w:after="60"/>
      </w:pPr>
      <w:r>
        <w:rPr>
          <w:b/>
          <w:color w:val="044E93"/>
          <w:sz w:val="20"/>
        </w:rPr>
        <w:t>Tribunais Regionais Federais e Tribunais de Justiça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5"/>
        <w:gridCol w:w="7676"/>
      </w:tblGrid>
      <w:tr w:rsidR="00122BCF" w14:paraId="04C7AEDD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97285B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TRF6 · 4ª TURMA — PROCESSO Nº 1000909-27.2020.4.01.3826</w:t>
            </w:r>
          </w:p>
          <w:p w14:paraId="49F3F4DD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Tribunal Regional Federal da 6ª Região — 4ª Turma — notícia institucional de 08/10/2026</w:t>
            </w:r>
          </w:p>
          <w:p w14:paraId="2F0598E7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Danos morais por separação compulsória decorrente da política de isolamento da hanseníase; afastamento da prescrição.</w:t>
            </w:r>
          </w:p>
        </w:tc>
      </w:tr>
      <w:tr w:rsidR="00122BCF" w14:paraId="3CB57808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7B8BF8B2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3D0CF82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 4ª Turma reformou sentença que reconhecera a prescrição e fixou R$ 100 mil por autora a título de danos morais. Aplicou o entendimento do Supremo Tribunal Federal na ADPF 1.060/DF: as ações de indenização propostas por filhos de pessoas atingidas pela hanseníase prescrevem em cinco anos, contados da publicação da ata de julgamento da ADPF (29/09/2025); a ação foi ajuizada antes dessa data.</w:t>
            </w:r>
          </w:p>
        </w:tc>
      </w:tr>
      <w:tr w:rsidR="00122BCF" w14:paraId="083E208B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8CAA187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30A36A9F" w14:textId="77777777" w:rsidR="00122BCF" w:rsidRDefault="00122BCF">
            <w:pPr>
              <w:spacing w:after="0"/>
            </w:pPr>
            <w:hyperlink r:id="rId14" w:history="1">
              <w:r>
                <w:rPr>
                  <w:color w:val="044E93"/>
                  <w:u w:val="single"/>
                </w:rPr>
                <w:t>TRF6 — TRF6 garante indenização a irmãs separadas dos pais por política de isolamento da hanseníase</w:t>
              </w:r>
            </w:hyperlink>
          </w:p>
        </w:tc>
      </w:tr>
    </w:tbl>
    <w:p w14:paraId="5273329C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5"/>
        <w:gridCol w:w="7676"/>
      </w:tblGrid>
      <w:tr w:rsidR="00122BCF" w14:paraId="46449688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697AC4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TRF6 · 2ª TURMA — PROCESSO Nº 0054463-45.2015.4.01.3800</w:t>
            </w:r>
          </w:p>
          <w:p w14:paraId="719780D9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Tribunal Regional Federal da 6ª Região — 2ª Turma — j. 16/09/2026 — notícia institucional de 14/10/2026</w:t>
            </w:r>
          </w:p>
          <w:p w14:paraId="5C370841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Comprovação do isolamento compulsório até 31/12/1986 para a pensão especial da Lei nº 11.520/2007.</w:t>
            </w:r>
          </w:p>
        </w:tc>
      </w:tr>
      <w:tr w:rsidR="00122BCF" w14:paraId="2D82D752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504FAEFB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BF8A947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 2ª Turma confirmou, por unanimidade, sentença da 4ª Vara Federal Cível de Belo Horizonte que reconheceu o direito à pensão especial vitalícia. A data de entrada registrada na colônia, em 1987, não foi considerada isoladamente: documento do Sistema de Controle de Hanseníase da Secretaria de Estado de Saúde de Minas Gerais indicou tratamento anterior, e o estigma social e a política de segregação foram considerados na caracterização do isolamento compulsório.</w:t>
            </w:r>
          </w:p>
        </w:tc>
      </w:tr>
      <w:tr w:rsidR="00122BCF" w14:paraId="6C4CEA25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0F8B260E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683FA294" w14:textId="77777777" w:rsidR="00122BCF" w:rsidRDefault="00122BCF">
            <w:pPr>
              <w:spacing w:after="0"/>
            </w:pPr>
            <w:hyperlink r:id="rId15" w:history="1">
              <w:r>
                <w:rPr>
                  <w:color w:val="044E93"/>
                  <w:u w:val="single"/>
                </w:rPr>
                <w:t>TRF6 — Justiça Federal concede pensão especial a homem diagnosticado com hanseníase em 1980</w:t>
              </w:r>
            </w:hyperlink>
          </w:p>
        </w:tc>
      </w:tr>
    </w:tbl>
    <w:p w14:paraId="5DBF7A3C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061A70D7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C1461D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CURADORIA MEDIANTE CONTRIBUIÇÃO</w:t>
            </w:r>
          </w:p>
          <w:p w14:paraId="32AB72BE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>Envie julgados, atos normativos e boas práticas em Direito da Saúde, com a fonte oficial. As contribuições recebidas até o dia 25 de cada mês serão avaliadas pela Comissão e poderão integrar a edição seguinte.</w:t>
            </w:r>
          </w:p>
          <w:p w14:paraId="765DC34E" w14:textId="77777777" w:rsidR="00122BCF" w:rsidRDefault="00122BCF">
            <w:pPr>
              <w:spacing w:after="0"/>
              <w:jc w:val="both"/>
            </w:pPr>
            <w:hyperlink r:id="rId16" w:tooltip="Enviar contribuição por e-mail">
              <w:r>
                <w:rPr>
                  <w:b/>
                  <w:color w:val="0A243B"/>
                  <w:sz w:val="19"/>
                  <w:u w:val="single"/>
                </w:rPr>
                <w:t>radarfonajus@trf3.jus.br</w:t>
              </w:r>
            </w:hyperlink>
          </w:p>
        </w:tc>
      </w:tr>
    </w:tbl>
    <w:p w14:paraId="3F6791FE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7600C3DB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58855C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>Informativos da semana do fechamento (03/11/2026): o STF nº 1.234 (divulgado em 26/10) e o STJ nº 907 (divulgado em 27/10) foram triados e não trazem julgado com interface em Direito da Saúde. As edições seguintes — STF nº 1.235 e STJ nº 908 — não haviam sido publicadas até o fechamento desta edição.</w:t>
            </w:r>
          </w:p>
        </w:tc>
      </w:tr>
    </w:tbl>
    <w:p w14:paraId="1666938F" w14:textId="77777777" w:rsidR="00122BCF" w:rsidRDefault="00122BCF">
      <w:pPr>
        <w:spacing w:after="120"/>
      </w:pPr>
    </w:p>
    <w:p w14:paraId="7837971C" w14:textId="77777777" w:rsidR="00122BCF" w:rsidRDefault="0027215F">
      <w:pPr>
        <w:pBdr>
          <w:bottom w:val="single" w:sz="12" w:space="4" w:color="044E93"/>
        </w:pBdr>
        <w:spacing w:before="200" w:after="100"/>
      </w:pPr>
      <w:bookmarkStart w:id="2" w:name="_RS_sec3"/>
      <w:r>
        <w:rPr>
          <w:b/>
          <w:color w:val="044E93"/>
          <w:sz w:val="26"/>
        </w:rPr>
        <w:t>3. e-NatJus / Evidências Técnico-Científicas</w:t>
      </w:r>
      <w:bookmarkEnd w:id="2"/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26223537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ACF5ED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e-NatJus — Revisões Sistemáticas</w:t>
            </w:r>
          </w:p>
          <w:p w14:paraId="1163362E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>Sem registros no período. Não houve publicação de revisão sistemática nova na Área Pública do e-NatJus entre 06/10 e 03/11/2026. A última revisão disponível é a de ID 166, de 23/09/2026.</w:t>
            </w:r>
          </w:p>
        </w:tc>
      </w:tr>
    </w:tbl>
    <w:p w14:paraId="096042CB" w14:textId="77777777" w:rsidR="00122BCF" w:rsidRDefault="00122BCF">
      <w:pPr>
        <w:spacing w:after="120"/>
      </w:pPr>
    </w:p>
    <w:p w14:paraId="4CEF27FB" w14:textId="77777777" w:rsidR="00122BCF" w:rsidRDefault="0027215F">
      <w:pPr>
        <w:pBdr>
          <w:bottom w:val="single" w:sz="12" w:space="4" w:color="044E93"/>
        </w:pBdr>
        <w:spacing w:before="200" w:after="100"/>
      </w:pPr>
      <w:bookmarkStart w:id="3" w:name="_RS_sec4"/>
      <w:r>
        <w:rPr>
          <w:b/>
          <w:color w:val="044E93"/>
          <w:sz w:val="26"/>
        </w:rPr>
        <w:t>4. Legislação e Atos Normativos</w:t>
      </w:r>
      <w:bookmarkEnd w:id="3"/>
    </w:p>
    <w:p w14:paraId="0DDDB7E8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4.1 Legislação Federal e Estadual</w:t>
      </w:r>
      <w:r>
        <w:t xml:space="preserve">  </w:t>
      </w:r>
      <w:r>
        <w:rPr>
          <w:b/>
          <w:color w:val="044E93"/>
          <w:sz w:val="14"/>
          <w:shd w:val="clear" w:color="auto" w:fill="DFF2FA"/>
        </w:rPr>
        <w:t xml:space="preserve"> SUS </w:t>
      </w: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581390ED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E4EC17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Legislação Federal e Estadual — sem registros no período</w:t>
            </w:r>
          </w:p>
          <w:p w14:paraId="2241F9A9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>Não houve publicação de lei ordinária federal com interface em Direito da Saúde entre 06/10 e 03/11/2026. A última lei ordinária publicada é a Lei nº 15.526, de 29/09/2026, sem interface com a matéria. Ausência verificada no Portal da Legislação da Presidência da República.</w:t>
            </w:r>
          </w:p>
        </w:tc>
      </w:tr>
    </w:tbl>
    <w:p w14:paraId="01ABA759" w14:textId="77777777" w:rsidR="00122BCF" w:rsidRDefault="00122BCF">
      <w:pPr>
        <w:spacing w:after="120"/>
      </w:pPr>
    </w:p>
    <w:p w14:paraId="313FAD3E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4.2 Ministério da Saúde</w:t>
      </w:r>
      <w:r>
        <w:t xml:space="preserve">  </w:t>
      </w:r>
      <w:r>
        <w:rPr>
          <w:b/>
          <w:color w:val="044E93"/>
          <w:sz w:val="14"/>
          <w:shd w:val="clear" w:color="auto" w:fill="DFF2FA"/>
        </w:rPr>
        <w:t xml:space="preserve"> SUS 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017518CF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E5E7EF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MINISTÉRIO DA SAÚDE · PORTARIA GM/MS Nº 12.301/2026</w:t>
            </w:r>
          </w:p>
          <w:p w14:paraId="78FFA672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Portaria GM/MS nº 12.301, de 27 de outubro de 2026 — Gabinete do Ministro — publicada no Diário Oficial da União de 28/10/2026</w:t>
            </w:r>
          </w:p>
          <w:p w14:paraId="02A14F8A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Política Nacional de Informação e Saúde Digital no âmbito do Sistema Único de Saúde.</w:t>
            </w:r>
          </w:p>
        </w:tc>
      </w:tr>
      <w:tr w:rsidR="00122BCF" w14:paraId="5E484CCF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04456F1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6C4283B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Altera a Portaria de Consolidação GM/MS nº 2, de 28/09/2017, para instituir a Política Nacional de Informação e Saúde Digital no âmbito do SUS (Anexo XLVI). Prevê a pactuação, pela Comissão Intergestores Tripartite, em até 180 dias da publicação, do Plano de Ação de Transformação para a Saúde Digital do SUS. Revoga o Capítulo I-A do Título VII da Portaria de Consolidação GM/MS nº 1, de 28/09/2017.</w:t>
            </w:r>
          </w:p>
        </w:tc>
      </w:tr>
      <w:tr w:rsidR="00122BCF" w14:paraId="5CD9BF33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6B78A7A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A4825AB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Interface indireta com demandas judiciais de saúde, nos pontos relativos a prontuário eletrônico, interoperabilidade pela Rede Nacional de Dados em Saúde, telessaúde e proteção de dados pessoais.</w:t>
            </w:r>
          </w:p>
        </w:tc>
      </w:tr>
      <w:tr w:rsidR="00122BCF" w14:paraId="10AA0BFE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888FC91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2A4E15E0" w14:textId="77777777" w:rsidR="00122BCF" w:rsidRDefault="00122BCF">
            <w:pPr>
              <w:spacing w:after="0"/>
            </w:pPr>
            <w:hyperlink r:id="rId17" w:history="1">
              <w:r>
                <w:rPr>
                  <w:color w:val="044E93"/>
                  <w:u w:val="single"/>
                </w:rPr>
                <w:t>DOU — Portaria GM/MS nº 12.301, de 27 de outubro de 2026</w:t>
              </w:r>
            </w:hyperlink>
          </w:p>
        </w:tc>
      </w:tr>
    </w:tbl>
    <w:p w14:paraId="669ACC0A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16F0DF35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928162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MINISTÉRIO DA SAÚDE · ASSISTÊNCIA FARMACÊUTICA ONCOLÓGICA (AF-ONCO)</w:t>
            </w:r>
          </w:p>
          <w:p w14:paraId="1E7A8012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Início da oferta no SUS de nove medicamentos oncológicos — Ministério da Saúde — anúncio de 20/10/2026</w:t>
            </w:r>
          </w:p>
          <w:p w14:paraId="5C8FE27E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Início da oferta efetiva, na rede pública, de nove medicamentos oncológicos já incorporados ao SUS.</w:t>
            </w:r>
          </w:p>
        </w:tc>
      </w:tr>
      <w:tr w:rsidR="00122BCF" w14:paraId="025329A0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1AFA92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3AF92026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O Ministério da Saúde iniciou, em 20/10/2026, a oferta no SUS de nove medicamentos oncológicos, com treze indicações: trastuzumabe (câncer de estômago ou da junção esofagogástrica); abemaciclibe (câncer de mama inicial com receptor hormonal positivo e HER2 negativo, com comprometimento de linfonodos, ou avançado); acetato de lanreotida (tumores neuroendócrinos); pazopanibe (câncer renal de células claras metastático); rituximabe (leucemia linfocítica crônica em primeira linha, linfoma folicular e linfoma di</w:t>
            </w:r>
            <w:r>
              <w:rPr>
                <w:sz w:val="19"/>
              </w:rPr>
              <w:t xml:space="preserve">fuso); abiraterona (câncer de próstata resistente à hormonioterapia, não metastático e metastático, e sensível à hormonioterapia e metastático); gefitinibe (câncer de pulmão de células não pequenas em </w:t>
            </w:r>
            <w:r>
              <w:rPr>
                <w:sz w:val="19"/>
              </w:rPr>
              <w:lastRenderedPageBreak/>
              <w:t>primeira linha); alfatirotropina (câncer diferenciado de tireoide com indicação de iodo radioativo); e sunitinibe (câncer renal de células claras metastático e tumor do estroma gastrointestinal avançado ou metastático após falha ao imatinibe). A disponibilização começa em vinte centros de tratamento, em dezessete unidades da Federação, com previsão de expansão até o fim do ano e de atendimento a mais de 116 mil pessoas. A oferta se dá no âmbito da Assistência Farmacêutica Oncológica, instituída pela Portari</w:t>
            </w:r>
            <w:r>
              <w:rPr>
                <w:sz w:val="19"/>
              </w:rPr>
              <w:t>a GM/MS nº 8.477, de 20/10/2025, cujo rol de medicamentos de altíssimo custo consta da Portaria Conjunta SCTIE/SAES/MS nº 2, de 21/07/2026.</w:t>
            </w:r>
          </w:p>
        </w:tc>
      </w:tr>
      <w:tr w:rsidR="00122BCF" w14:paraId="37D89F5A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4B708E1B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38087761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O Ministério da Saúde registra que esses medicamentos “estavam incorporados ao SUS, mas sem a efetiva oferta nos serviços”. Trastuzumabe, rituximabe, abiraterona e sunitinibe são objeto frequente de demandas judiciais de fornecimento, nas quais a existência de oferta na rede pública é elemento central. A oferta inicial está limitada a vinte centros, o que mantém, no período de expansão, a possibilidade de demandas por acesso.</w:t>
            </w:r>
          </w:p>
        </w:tc>
      </w:tr>
      <w:tr w:rsidR="00122BCF" w14:paraId="1B754571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0C6614BE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33676B8" w14:textId="77777777" w:rsidR="00122BCF" w:rsidRDefault="00122BCF">
            <w:pPr>
              <w:spacing w:after="0"/>
            </w:pPr>
            <w:hyperlink r:id="rId18" w:history="1">
              <w:r>
                <w:rPr>
                  <w:color w:val="044E93"/>
                  <w:u w:val="single"/>
                </w:rPr>
                <w:t>Ministério da Saúde — Ministério da Saúde inicia oferta no SUS de nove medicamentos oncológicos de alta tecnologia em todas as regiões do país</w:t>
              </w:r>
            </w:hyperlink>
            <w:r w:rsidR="0027215F">
              <w:rPr>
                <w:sz w:val="19"/>
              </w:rPr>
              <w:br/>
            </w:r>
            <w:hyperlink r:id="rId19" w:history="1">
              <w:r>
                <w:rPr>
                  <w:color w:val="044E93"/>
                  <w:u w:val="single"/>
                </w:rPr>
                <w:t>Ministério da Saúde — Legislação da Assistência Farmacêutica em Oncologia (AF-Onco)</w:t>
              </w:r>
            </w:hyperlink>
          </w:p>
        </w:tc>
      </w:tr>
    </w:tbl>
    <w:p w14:paraId="7CF5B64C" w14:textId="77777777" w:rsidR="00122BCF" w:rsidRDefault="00122BCF">
      <w:pPr>
        <w:spacing w:after="120"/>
      </w:pPr>
    </w:p>
    <w:p w14:paraId="795F6EED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4.3 Portarias SCTIE/MS — CONITEC</w:t>
      </w:r>
      <w:r>
        <w:t xml:space="preserve">  </w:t>
      </w:r>
      <w:r>
        <w:rPr>
          <w:b/>
          <w:color w:val="044E93"/>
          <w:sz w:val="14"/>
          <w:shd w:val="clear" w:color="auto" w:fill="DFF2FA"/>
        </w:rPr>
        <w:t xml:space="preserve"> SUS </w:t>
      </w:r>
    </w:p>
    <w:p w14:paraId="5D2F7AE6" w14:textId="77777777" w:rsidR="00122BCF" w:rsidRDefault="0027215F">
      <w:pPr>
        <w:spacing w:before="100" w:after="60"/>
      </w:pPr>
      <w:r>
        <w:rPr>
          <w:b/>
          <w:color w:val="044E93"/>
          <w:sz w:val="20"/>
        </w:rPr>
        <w:t>Portarias de incorporação (SCTIE/MS)</w:t>
      </w:r>
    </w:p>
    <w:tbl>
      <w:tblPr>
        <w:tblW w:w="0" w:type="auto"/>
        <w:jc w:val="center"/>
        <w:tblBorders>
          <w:top w:val="single" w:sz="4" w:space="0" w:color="D3DEE8"/>
          <w:left w:val="single" w:sz="4" w:space="0" w:color="D3DEE8"/>
          <w:bottom w:val="single" w:sz="4" w:space="0" w:color="D3DEE8"/>
          <w:right w:val="single" w:sz="4" w:space="0" w:color="D3DEE8"/>
          <w:insideH w:val="single" w:sz="4" w:space="0" w:color="D3DEE8"/>
          <w:insideV w:val="single" w:sz="4" w:space="0" w:color="D3DEE8"/>
        </w:tblBorders>
        <w:tblLook w:val="04A0" w:firstRow="1" w:lastRow="0" w:firstColumn="1" w:lastColumn="0" w:noHBand="0" w:noVBand="1"/>
      </w:tblPr>
      <w:tblGrid>
        <w:gridCol w:w="1985"/>
        <w:gridCol w:w="1985"/>
        <w:gridCol w:w="1986"/>
        <w:gridCol w:w="1984"/>
        <w:gridCol w:w="1986"/>
      </w:tblGrid>
      <w:tr w:rsidR="00122BCF" w14:paraId="47F7172E" w14:textId="77777777">
        <w:trPr>
          <w:jc w:val="center"/>
        </w:trPr>
        <w:tc>
          <w:tcPr>
            <w:tcW w:w="1987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8AACB0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Ato / DOU</w:t>
            </w:r>
          </w:p>
        </w:tc>
        <w:tc>
          <w:tcPr>
            <w:tcW w:w="1987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0F9B54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Tecnologia</w:t>
            </w:r>
          </w:p>
        </w:tc>
        <w:tc>
          <w:tcPr>
            <w:tcW w:w="1987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C6B29F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Indicação</w:t>
            </w:r>
          </w:p>
        </w:tc>
        <w:tc>
          <w:tcPr>
            <w:tcW w:w="1987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BF392E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Decisão</w:t>
            </w:r>
          </w:p>
        </w:tc>
        <w:tc>
          <w:tcPr>
            <w:tcW w:w="1987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01751F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Relatório</w:t>
            </w:r>
          </w:p>
        </w:tc>
      </w:tr>
      <w:tr w:rsidR="00122BCF" w14:paraId="7AC5A78F" w14:textId="77777777">
        <w:trPr>
          <w:jc w:val="center"/>
        </w:trPr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410F5B" w14:textId="77777777" w:rsidR="00122BCF" w:rsidRDefault="00122BCF">
            <w:pPr>
              <w:spacing w:after="0"/>
            </w:pPr>
            <w:hyperlink r:id="rId20" w:history="1">
              <w:r>
                <w:rPr>
                  <w:color w:val="044E93"/>
                  <w:u w:val="single"/>
                </w:rPr>
                <w:t>Portaria SCTIE/MS nº 64, de 27/10/2026 · DOU 29/10/2026</w:t>
              </w:r>
            </w:hyperlink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F7197B" w14:textId="77777777" w:rsidR="00122BCF" w:rsidRDefault="0027215F">
            <w:pPr>
              <w:spacing w:after="0"/>
            </w:pPr>
            <w:r>
              <w:rPr>
                <w:sz w:val="17"/>
              </w:rPr>
              <w:t>Iptacopana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97499" w14:textId="77777777" w:rsidR="00122BCF" w:rsidRDefault="0027215F">
            <w:pPr>
              <w:spacing w:after="0"/>
            </w:pPr>
            <w:r>
              <w:rPr>
                <w:sz w:val="17"/>
              </w:rPr>
              <w:t>Hemoglobinúria paroxística noturna em indivíduos previamente tratados com inibidor de C5 e com hemoglobina inferior a 10 g/dL, conforme Protocolo do Ministério da Saúde. Prazo máximo de 180 dias para efetivação da oferta no SUS.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B0798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5"/>
                <w:shd w:val="clear" w:color="auto" w:fill="2E7D32"/>
              </w:rPr>
              <w:t xml:space="preserve"> INCORPORA 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F2F49" w14:textId="77777777" w:rsidR="00122BCF" w:rsidRDefault="00122BCF">
            <w:pPr>
              <w:spacing w:after="0"/>
            </w:pPr>
            <w:hyperlink r:id="rId21" w:history="1">
              <w:r>
                <w:rPr>
                  <w:color w:val="044E93"/>
                  <w:u w:val="single"/>
                </w:rPr>
                <w:t>Relatório de Recomendação nº 1.134</w:t>
              </w:r>
            </w:hyperlink>
          </w:p>
        </w:tc>
      </w:tr>
      <w:tr w:rsidR="00122BCF" w14:paraId="66264B1C" w14:textId="77777777">
        <w:trPr>
          <w:jc w:val="center"/>
        </w:trPr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BA00F4" w14:textId="77777777" w:rsidR="00122BCF" w:rsidRDefault="00122BCF">
            <w:pPr>
              <w:spacing w:after="0"/>
            </w:pPr>
            <w:hyperlink r:id="rId22" w:history="1">
              <w:r>
                <w:rPr>
                  <w:color w:val="044E93"/>
                  <w:u w:val="single"/>
                </w:rPr>
                <w:t>Portaria SCTIE/MS nº 64, de 27/10/2026 · DOU 29/10/2026</w:t>
              </w:r>
            </w:hyperlink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3489C" w14:textId="77777777" w:rsidR="00122BCF" w:rsidRDefault="0027215F">
            <w:pPr>
              <w:spacing w:after="0"/>
            </w:pPr>
            <w:r>
              <w:rPr>
                <w:sz w:val="17"/>
              </w:rPr>
              <w:t>Crovalimabe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57CCF" w14:textId="77777777" w:rsidR="00122BCF" w:rsidRDefault="0027215F">
            <w:pPr>
              <w:spacing w:after="0"/>
            </w:pPr>
            <w:r>
              <w:rPr>
                <w:sz w:val="17"/>
              </w:rPr>
              <w:t>Hemoglobinúria paroxística noturna em indivíduos virgens de tratamento ou previamente tratados com inibidores de C5.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520004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5"/>
                <w:shd w:val="clear" w:color="auto" w:fill="A32015"/>
              </w:rPr>
              <w:t xml:space="preserve"> NÃO INCORPORA 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78C19" w14:textId="77777777" w:rsidR="00122BCF" w:rsidRDefault="00122BCF">
            <w:pPr>
              <w:spacing w:after="0"/>
            </w:pPr>
            <w:hyperlink r:id="rId23" w:history="1">
              <w:r>
                <w:rPr>
                  <w:color w:val="044E93"/>
                  <w:u w:val="single"/>
                </w:rPr>
                <w:t>Relatório de Recomendação nº 1.134</w:t>
              </w:r>
            </w:hyperlink>
          </w:p>
        </w:tc>
      </w:tr>
      <w:tr w:rsidR="00122BCF" w14:paraId="6BF55D1A" w14:textId="77777777">
        <w:trPr>
          <w:jc w:val="center"/>
        </w:trPr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C5B91" w14:textId="77777777" w:rsidR="00122BCF" w:rsidRDefault="00122BCF">
            <w:pPr>
              <w:spacing w:after="0"/>
            </w:pPr>
            <w:hyperlink r:id="rId24" w:history="1">
              <w:r>
                <w:rPr>
                  <w:color w:val="044E93"/>
                  <w:u w:val="single"/>
                </w:rPr>
                <w:t>Portaria SCTIE/MS nº 64, de 27/10/2026 · DOU 29/10/2026</w:t>
              </w:r>
            </w:hyperlink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1C72E" w14:textId="77777777" w:rsidR="00122BCF" w:rsidRDefault="0027215F">
            <w:pPr>
              <w:spacing w:after="0"/>
            </w:pPr>
            <w:r>
              <w:rPr>
                <w:sz w:val="17"/>
              </w:rPr>
              <w:t>Pegcetacoplana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31311" w14:textId="77777777" w:rsidR="00122BCF" w:rsidRDefault="0027215F">
            <w:pPr>
              <w:spacing w:after="0"/>
            </w:pPr>
            <w:r>
              <w:rPr>
                <w:sz w:val="17"/>
              </w:rPr>
              <w:t>Hemoglobinúria paroxística noturna em indivíduos previamente tratados com inibidor de C5 e com hemoglobina inferior a 10 g/dL.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F4778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5"/>
                <w:shd w:val="clear" w:color="auto" w:fill="A32015"/>
              </w:rPr>
              <w:t xml:space="preserve"> NÃO INCORPORA 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5ADB2" w14:textId="77777777" w:rsidR="00122BCF" w:rsidRDefault="00122BCF">
            <w:pPr>
              <w:spacing w:after="0"/>
            </w:pPr>
            <w:hyperlink r:id="rId25" w:history="1">
              <w:r>
                <w:rPr>
                  <w:color w:val="044E93"/>
                  <w:u w:val="single"/>
                </w:rPr>
                <w:t>Relatório de Recomendação nº 1.134</w:t>
              </w:r>
            </w:hyperlink>
          </w:p>
        </w:tc>
      </w:tr>
      <w:tr w:rsidR="00122BCF" w14:paraId="2913B583" w14:textId="77777777">
        <w:trPr>
          <w:jc w:val="center"/>
        </w:trPr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1ADAD" w14:textId="77777777" w:rsidR="00122BCF" w:rsidRDefault="00122BCF">
            <w:pPr>
              <w:spacing w:after="0"/>
            </w:pPr>
            <w:hyperlink r:id="rId26" w:history="1">
              <w:r>
                <w:rPr>
                  <w:color w:val="044E93"/>
                  <w:u w:val="single"/>
                </w:rPr>
                <w:t>Portaria SCTIE/MS nº 64, de 27/10/2026 · DOU 29/10/2026</w:t>
              </w:r>
            </w:hyperlink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089CF" w14:textId="77777777" w:rsidR="00122BCF" w:rsidRDefault="0027215F">
            <w:pPr>
              <w:spacing w:after="0"/>
            </w:pPr>
            <w:r>
              <w:rPr>
                <w:sz w:val="17"/>
              </w:rPr>
              <w:t>Ravulizumabe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39A5E" w14:textId="77777777" w:rsidR="00122BCF" w:rsidRDefault="0027215F">
            <w:pPr>
              <w:spacing w:after="0"/>
            </w:pPr>
            <w:r>
              <w:rPr>
                <w:sz w:val="17"/>
              </w:rPr>
              <w:t>Hemoglobinúria paroxística noturna — exclusão do SUS.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615FD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5"/>
                <w:shd w:val="clear" w:color="auto" w:fill="A32015"/>
              </w:rPr>
              <w:t xml:space="preserve"> EXCLUI 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65EE8" w14:textId="77777777" w:rsidR="00122BCF" w:rsidRDefault="00122BCF">
            <w:pPr>
              <w:spacing w:after="0"/>
            </w:pPr>
            <w:hyperlink r:id="rId27" w:history="1">
              <w:r>
                <w:rPr>
                  <w:color w:val="044E93"/>
                  <w:u w:val="single"/>
                </w:rPr>
                <w:t>Relatório de Recomendação nº 1.134</w:t>
              </w:r>
            </w:hyperlink>
          </w:p>
        </w:tc>
      </w:tr>
      <w:tr w:rsidR="00122BCF" w14:paraId="1BFFA190" w14:textId="77777777">
        <w:trPr>
          <w:jc w:val="center"/>
        </w:trPr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72426" w14:textId="77777777" w:rsidR="00122BCF" w:rsidRDefault="00122BCF">
            <w:pPr>
              <w:spacing w:after="0"/>
            </w:pPr>
            <w:hyperlink r:id="rId28" w:history="1">
              <w:r>
                <w:rPr>
                  <w:color w:val="044E93"/>
                  <w:u w:val="single"/>
                </w:rPr>
                <w:t>Portaria SCTIE/MS nº 65, de 20/10/2026 · DOU 21/10/2026</w:t>
              </w:r>
            </w:hyperlink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2C389" w14:textId="77777777" w:rsidR="00122BCF" w:rsidRDefault="0027215F">
            <w:pPr>
              <w:spacing w:after="0"/>
            </w:pPr>
            <w:r>
              <w:rPr>
                <w:sz w:val="17"/>
              </w:rPr>
              <w:t>Distratores ósseos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430D1" w14:textId="77777777" w:rsidR="00122BCF" w:rsidRDefault="0027215F">
            <w:pPr>
              <w:spacing w:after="0"/>
            </w:pPr>
            <w:r>
              <w:rPr>
                <w:sz w:val="17"/>
              </w:rPr>
              <w:t>Tratamento de indivíduos com craniossinostose, conforme Protocolo do Ministério da Saúde. Prazo máximo de 180 dias para efetivação da oferta no SUS.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197CC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5"/>
                <w:shd w:val="clear" w:color="auto" w:fill="2E7D32"/>
              </w:rPr>
              <w:t xml:space="preserve"> INCORPORA 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926BB" w14:textId="77777777" w:rsidR="00122BCF" w:rsidRDefault="00122BCF">
            <w:pPr>
              <w:spacing w:after="0"/>
            </w:pPr>
            <w:hyperlink r:id="rId29" w:history="1">
              <w:r>
                <w:rPr>
                  <w:color w:val="044E93"/>
                  <w:u w:val="single"/>
                </w:rPr>
                <w:t>Relatório de Recomendação nº 1.142</w:t>
              </w:r>
            </w:hyperlink>
          </w:p>
        </w:tc>
      </w:tr>
      <w:tr w:rsidR="00122BCF" w14:paraId="56A38767" w14:textId="77777777">
        <w:trPr>
          <w:jc w:val="center"/>
        </w:trPr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5CBAF" w14:textId="77777777" w:rsidR="00122BCF" w:rsidRDefault="00122BCF">
            <w:pPr>
              <w:spacing w:after="0"/>
            </w:pPr>
            <w:hyperlink r:id="rId30" w:history="1">
              <w:r>
                <w:rPr>
                  <w:color w:val="044E93"/>
                  <w:u w:val="single"/>
                </w:rPr>
                <w:t>Portaria SCTIE/MS nº 66, de 27/10/2026 · DOU 28/10/2026</w:t>
              </w:r>
            </w:hyperlink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C3BF28" w14:textId="77777777" w:rsidR="00122BCF" w:rsidRDefault="0027215F">
            <w:pPr>
              <w:spacing w:after="0"/>
            </w:pPr>
            <w:r>
              <w:rPr>
                <w:sz w:val="17"/>
              </w:rPr>
              <w:t>Cateter de tomografia de coerência óptica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93F6C" w14:textId="77777777" w:rsidR="00122BCF" w:rsidRDefault="0027215F">
            <w:pPr>
              <w:spacing w:after="0"/>
            </w:pPr>
            <w:r>
              <w:rPr>
                <w:sz w:val="17"/>
              </w:rPr>
              <w:t>Intervenção coronária percutânea com implante de stent. A matéria poderá ser reavaliada pela CONITEC diante de fatos novos.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52B633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5"/>
                <w:shd w:val="clear" w:color="auto" w:fill="A32015"/>
              </w:rPr>
              <w:t xml:space="preserve"> NÃO INCORPORA </w:t>
            </w:r>
          </w:p>
        </w:tc>
        <w:tc>
          <w:tcPr>
            <w:tcW w:w="1987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24A38F" w14:textId="77777777" w:rsidR="00122BCF" w:rsidRDefault="0027215F">
            <w:pPr>
              <w:spacing w:after="0"/>
            </w:pPr>
            <w:r>
              <w:rPr>
                <w:sz w:val="17"/>
              </w:rPr>
              <w:t>—</w:t>
            </w:r>
          </w:p>
        </w:tc>
      </w:tr>
    </w:tbl>
    <w:p w14:paraId="5A8E6E2E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4C52D70C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25CCE7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Protocolos Clínicos e Diretrizes Terapêuticas aprovados no período</w:t>
            </w:r>
          </w:p>
          <w:p w14:paraId="36328CDD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>As Portarias Conjuntas SAES/SCTIE nº 89 a 106, de 20/10/2026, publicadas no Diário Oficial da União de 28/10/2026, aprovam dezoito protocolos clínicos, protocolos de uso e diretrizes, majoritariamente em oncologia. Os protocolos são de caráter nacional e de uso obrigatório pelas Secretarias de Saúde dos Estados, do Distrito Federal e dos Municípios na regulação do acesso, autorização, registro e ressarcimento dos procedimentos, com obrigatoriedade de cientificação do paciente sobre riscos e efeitos adversos</w:t>
            </w:r>
            <w:r>
              <w:rPr>
                <w:color w:val="0A243B"/>
                <w:sz w:val="19"/>
              </w:rPr>
              <w:t xml:space="preserve">; parte das portarias revoga os protocolos anteriores sobre a mesma condição. </w:t>
            </w:r>
            <w:hyperlink r:id="rId31" w:history="1">
              <w:r w:rsidR="00122BCF">
                <w:rPr>
                  <w:color w:val="044E93"/>
                  <w:u w:val="single"/>
                </w:rPr>
                <w:t>nº 89 — Protocolo de Uso da Terapia Fotodinâmica para o Carcinoma Basocelular Superficial e Nodular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32" w:history="1">
              <w:r w:rsidR="00122BCF">
                <w:rPr>
                  <w:color w:val="044E93"/>
                  <w:u w:val="single"/>
                </w:rPr>
                <w:t>nº 90 — PCDT do Mieloma Múltiplo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33" w:history="1">
              <w:r w:rsidR="00122BCF">
                <w:rPr>
                  <w:color w:val="044E93"/>
                  <w:u w:val="single"/>
                </w:rPr>
                <w:t>nº 91 — PCDT de Linfoma de Hodgkin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34" w:history="1">
              <w:r w:rsidR="00122BCF">
                <w:rPr>
                  <w:color w:val="044E93"/>
                  <w:u w:val="single"/>
                </w:rPr>
                <w:t>nº 92 — PCDT do Carcinoma Diferenciado da Tireoide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35" w:history="1">
              <w:r w:rsidR="00122BCF">
                <w:rPr>
                  <w:color w:val="044E93"/>
                  <w:u w:val="single"/>
                </w:rPr>
                <w:t>nº 93 — PCDT do Melanoma Cutâneo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36" w:history="1">
              <w:r w:rsidR="00122BCF">
                <w:rPr>
                  <w:color w:val="044E93"/>
                  <w:u w:val="single"/>
                </w:rPr>
                <w:t>nº 94 — PCDT do Câncer Epidermoide de Cabeça e Pescoço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37" w:history="1">
              <w:r w:rsidR="00122BCF">
                <w:rPr>
                  <w:color w:val="044E93"/>
                  <w:u w:val="single"/>
                </w:rPr>
                <w:t>nº 95 — PCDT da Leucemia Mieloide Crônica do Adulto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38" w:history="1">
              <w:r w:rsidR="00122BCF">
                <w:rPr>
                  <w:color w:val="044E93"/>
                  <w:u w:val="single"/>
                </w:rPr>
                <w:t>nº 96 — PCDT do Carcinoma de Esôfago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39" w:history="1">
              <w:r w:rsidR="00122BCF">
                <w:rPr>
                  <w:color w:val="044E93"/>
                  <w:u w:val="single"/>
                </w:rPr>
                <w:t>nº 97 — PCDT do Adenocarcinoma de Próstata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0" w:history="1">
              <w:r w:rsidR="00122BCF">
                <w:rPr>
                  <w:color w:val="044E93"/>
                  <w:u w:val="single"/>
                </w:rPr>
                <w:t>nº 98 — PCDT da Neoplasia Maligna Epitelial de Ovário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1" w:history="1">
              <w:r w:rsidR="00122BCF">
                <w:rPr>
                  <w:color w:val="044E93"/>
                  <w:u w:val="single"/>
                </w:rPr>
                <w:t>nº 99 — PCDT do Linfoma Folicular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2" w:history="1">
              <w:r w:rsidR="00122BCF">
                <w:rPr>
                  <w:color w:val="044E93"/>
                  <w:u w:val="single"/>
                </w:rPr>
                <w:t>nº 100 — PCDT de Adenocarcinoma de Estômago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3" w:history="1">
              <w:r w:rsidR="00122BCF">
                <w:rPr>
                  <w:color w:val="044E93"/>
                  <w:u w:val="single"/>
                </w:rPr>
                <w:t>nº 101 — Protocolo de Uso do Blinatumomabe na Leucemia Linfoblástica Aguda de Células B e Cromossomo Philadelphia Negativo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4" w:history="1">
              <w:r w:rsidR="00122BCF">
                <w:rPr>
                  <w:color w:val="044E93"/>
                  <w:u w:val="single"/>
                </w:rPr>
                <w:t>nº 102 — PCDT do Tumor do Estroma Gastrointestinal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5" w:history="1">
              <w:r w:rsidR="00122BCF">
                <w:rPr>
                  <w:color w:val="044E93"/>
                  <w:u w:val="single"/>
                </w:rPr>
                <w:t>nº 103 — PCDT do Carcinoma Renal de Células Claras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6" w:history="1">
              <w:r w:rsidR="00122BCF">
                <w:rPr>
                  <w:color w:val="044E93"/>
                  <w:u w:val="single"/>
                </w:rPr>
                <w:t>nº 104 — Diretrizes Brasileiras do Rastreamento do Câncer de Cólon e Reto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7" w:history="1">
              <w:r w:rsidR="00122BCF">
                <w:rPr>
                  <w:color w:val="044E93"/>
                  <w:u w:val="single"/>
                </w:rPr>
                <w:t>nº 105 — Diretrizes Brasileiras para o Rastreamento do Câncer de Colo do Útero: Parte II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48" w:history="1">
              <w:r w:rsidR="00122BCF">
                <w:rPr>
                  <w:color w:val="044E93"/>
                  <w:u w:val="single"/>
                </w:rPr>
                <w:t>nº 106 — PCDT do Câncer de Mama</w:t>
              </w:r>
            </w:hyperlink>
            <w:r>
              <w:rPr>
                <w:color w:val="0A243B"/>
                <w:sz w:val="19"/>
              </w:rPr>
              <w:t xml:space="preserve">. No mesmo período foram publicadas a Portaria Conjunta SAES/SCTIE nº 87, de 15/10/2026 (DOU de 20/10/2026), que aprova o </w:t>
            </w:r>
            <w:hyperlink r:id="rId49" w:history="1">
              <w:r w:rsidR="00122BCF">
                <w:rPr>
                  <w:color w:val="044E93"/>
                  <w:u w:val="single"/>
                </w:rPr>
                <w:t>PCDT da Síndrome Nefrótica Primária em crianças e adolescentes</w:t>
              </w:r>
            </w:hyperlink>
            <w:r>
              <w:rPr>
                <w:color w:val="0A243B"/>
                <w:sz w:val="19"/>
              </w:rPr>
              <w:t xml:space="preserve"> e revoga a Portaria Conjunta SAS/SCTIE/MS nº 1, de 10/01/2018; a Portaria Conjunta SAES/SCTIE nº 76, de 01/09/2026 (DOU de 15/10/2026), que aprova o </w:t>
            </w:r>
            <w:hyperlink r:id="rId50" w:history="1">
              <w:r w:rsidR="00122BCF">
                <w:rPr>
                  <w:color w:val="044E93"/>
                  <w:u w:val="single"/>
                </w:rPr>
                <w:t>PCDT de Hemangioma Infantil</w:t>
              </w:r>
            </w:hyperlink>
            <w:r>
              <w:rPr>
                <w:color w:val="0A243B"/>
                <w:sz w:val="19"/>
              </w:rPr>
              <w:t xml:space="preserve">; e a Portaria Conjunta SAES/SCTIE nº 80, de 15/09/2026 (DOU de 15/10/2026), que aprova o </w:t>
            </w:r>
            <w:hyperlink r:id="rId51" w:history="1">
              <w:r w:rsidR="00122BCF">
                <w:rPr>
                  <w:color w:val="044E93"/>
                  <w:u w:val="single"/>
                </w:rPr>
                <w:t>Protocolo de Uso de Emicizumabe para crianças de 0 a 6 anos com hemofilia A sem inibidores</w:t>
              </w:r>
            </w:hyperlink>
            <w:r>
              <w:rPr>
                <w:color w:val="0A243B"/>
                <w:sz w:val="19"/>
              </w:rPr>
              <w:t>. As duas últimas são atos de setembro publicados dentro do período de referência, registrados com dupla data.</w:t>
            </w:r>
          </w:p>
        </w:tc>
      </w:tr>
    </w:tbl>
    <w:p w14:paraId="2110BC41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59CD2C36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12DBBD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Regulamentação na Tabela SUS dos protocolos publicados no período</w:t>
            </w:r>
          </w:p>
          <w:p w14:paraId="60849822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lastRenderedPageBreak/>
              <w:t>As Portarias GM/MS nº 12.303 a 12.315 e nº 12.318, de 28/10/2026, publicadas no Diário Oficial da União de 29/10/2026, incluem e alteram procedimentos na Tabela de Procedimentos, Medicamentos, Órteses, Próteses e Materiais Especiais do SUS e estabelecem recursos para o custeio de procedimentos de média e alta complexidade, dando execução aos protocolos aprovados no período. Alcançam, entre outros, o dasatinibe e o nilotinibe na leucemia mieloide crônica; o acetato de abiraterona no adenocarcinoma de próstat</w:t>
            </w:r>
            <w:r>
              <w:rPr>
                <w:color w:val="0A243B"/>
                <w:sz w:val="19"/>
              </w:rPr>
              <w:t xml:space="preserve">a; o acetato de lanreotida em tumores neuroendócrinos; o mesilato de imatinibe na leucemia mieloide crônica e no tumor do estroma gastrointestinal; o tratamento sistêmico do carcinoma de mama HER2 positivo; a iodoterapia do carcinoma diferenciado da tireoide; e a terapia fotodinâmica do carcinoma basocelular. Enquanto o procedimento não é incluído na Tabela e o custeio não é definido, o protocolo não se efetiva na rede. </w:t>
            </w:r>
            <w:hyperlink r:id="rId52" w:history="1">
              <w:r w:rsidR="00122BCF">
                <w:rPr>
                  <w:color w:val="044E93"/>
                  <w:u w:val="single"/>
                </w:rPr>
                <w:t>nº 12.303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53" w:history="1">
              <w:r w:rsidR="00122BCF">
                <w:rPr>
                  <w:color w:val="044E93"/>
                  <w:u w:val="single"/>
                </w:rPr>
                <w:t>nº 12.304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54" w:history="1">
              <w:r w:rsidR="00122BCF">
                <w:rPr>
                  <w:color w:val="044E93"/>
                  <w:u w:val="single"/>
                </w:rPr>
                <w:t>nº 12.305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55" w:history="1">
              <w:r w:rsidR="00122BCF">
                <w:rPr>
                  <w:color w:val="044E93"/>
                  <w:u w:val="single"/>
                </w:rPr>
                <w:t>nº 12.306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56" w:history="1">
              <w:r w:rsidR="00122BCF">
                <w:rPr>
                  <w:color w:val="044E93"/>
                  <w:u w:val="single"/>
                </w:rPr>
                <w:t>nº 12.307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57" w:history="1">
              <w:r w:rsidR="00122BCF">
                <w:rPr>
                  <w:color w:val="044E93"/>
                  <w:u w:val="single"/>
                </w:rPr>
                <w:t>nº 12.308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58" w:history="1">
              <w:r w:rsidR="00122BCF">
                <w:rPr>
                  <w:color w:val="044E93"/>
                  <w:u w:val="single"/>
                </w:rPr>
                <w:t>nº 12.309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59" w:history="1">
              <w:r w:rsidR="00122BCF">
                <w:rPr>
                  <w:color w:val="044E93"/>
                  <w:u w:val="single"/>
                </w:rPr>
                <w:t>nº 12.310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60" w:history="1">
              <w:r w:rsidR="00122BCF">
                <w:rPr>
                  <w:color w:val="044E93"/>
                  <w:u w:val="single"/>
                </w:rPr>
                <w:t>nº 12.311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61" w:history="1">
              <w:r w:rsidR="00122BCF">
                <w:rPr>
                  <w:color w:val="044E93"/>
                  <w:u w:val="single"/>
                </w:rPr>
                <w:t>nº 12.312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62" w:history="1">
              <w:r w:rsidR="00122BCF">
                <w:rPr>
                  <w:color w:val="044E93"/>
                  <w:u w:val="single"/>
                </w:rPr>
                <w:t>nº 12.313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63" w:history="1">
              <w:r w:rsidR="00122BCF">
                <w:rPr>
                  <w:color w:val="044E93"/>
                  <w:u w:val="single"/>
                </w:rPr>
                <w:t>nº 12.314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64" w:history="1">
              <w:r w:rsidR="00122BCF">
                <w:rPr>
                  <w:color w:val="044E93"/>
                  <w:u w:val="single"/>
                </w:rPr>
                <w:t>nº 12.315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65" w:history="1">
              <w:r w:rsidR="00122BCF">
                <w:rPr>
                  <w:color w:val="044E93"/>
                  <w:u w:val="single"/>
                </w:rPr>
                <w:t>nº 12.318</w:t>
              </w:r>
            </w:hyperlink>
            <w:r>
              <w:rPr>
                <w:color w:val="0A243B"/>
                <w:sz w:val="19"/>
              </w:rPr>
              <w:t>.</w:t>
            </w:r>
          </w:p>
        </w:tc>
      </w:tr>
    </w:tbl>
    <w:p w14:paraId="2F2607FB" w14:textId="77777777" w:rsidR="00122BCF" w:rsidRDefault="00122BCF">
      <w:pPr>
        <w:spacing w:after="120"/>
      </w:pPr>
    </w:p>
    <w:p w14:paraId="610D0565" w14:textId="77777777" w:rsidR="00122BCF" w:rsidRDefault="0027215F">
      <w:pPr>
        <w:spacing w:before="100" w:after="60"/>
      </w:pPr>
      <w:r>
        <w:rPr>
          <w:b/>
          <w:color w:val="044E93"/>
          <w:sz w:val="20"/>
        </w:rPr>
        <w:t>Consultas públicas abertas</w:t>
      </w:r>
    </w:p>
    <w:tbl>
      <w:tblPr>
        <w:tblW w:w="0" w:type="auto"/>
        <w:jc w:val="center"/>
        <w:tblBorders>
          <w:top w:val="single" w:sz="4" w:space="0" w:color="D3DEE8"/>
          <w:left w:val="single" w:sz="4" w:space="0" w:color="D3DEE8"/>
          <w:bottom w:val="single" w:sz="4" w:space="0" w:color="D3DEE8"/>
          <w:right w:val="single" w:sz="4" w:space="0" w:color="D3DEE8"/>
          <w:insideH w:val="single" w:sz="4" w:space="0" w:color="D3DEE8"/>
          <w:insideV w:val="single" w:sz="4" w:space="0" w:color="D3DEE8"/>
        </w:tblBorders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122BCF" w14:paraId="15C93B34" w14:textId="77777777">
        <w:trPr>
          <w:jc w:val="center"/>
        </w:trPr>
        <w:tc>
          <w:tcPr>
            <w:tcW w:w="3312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94CC08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CP</w:t>
            </w:r>
          </w:p>
        </w:tc>
        <w:tc>
          <w:tcPr>
            <w:tcW w:w="3312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642EAB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Data</w:t>
            </w:r>
          </w:p>
        </w:tc>
        <w:tc>
          <w:tcPr>
            <w:tcW w:w="3312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5F0ED7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Objeto</w:t>
            </w:r>
          </w:p>
        </w:tc>
      </w:tr>
      <w:tr w:rsidR="00122BCF" w14:paraId="27587F1A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0FF59" w14:textId="77777777" w:rsidR="00122BCF" w:rsidRDefault="00122BCF">
            <w:pPr>
              <w:spacing w:after="0"/>
            </w:pPr>
            <w:hyperlink r:id="rId66" w:history="1">
              <w:r>
                <w:rPr>
                  <w:color w:val="044E93"/>
                  <w:u w:val="single"/>
                </w:rPr>
                <w:t>nº 103/2026</w:t>
              </w:r>
            </w:hyperlink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80E1C9" w14:textId="77777777" w:rsidR="00122BCF" w:rsidRDefault="0027215F">
            <w:pPr>
              <w:spacing w:after="0"/>
            </w:pPr>
            <w:r>
              <w:rPr>
                <w:sz w:val="17"/>
              </w:rPr>
              <w:t>Ato de 02/10/2026; DOU de 06/10/2026; contribuições de 07/10 a 26/10/2026</w:t>
            </w:r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2976F" w14:textId="77777777" w:rsidR="00122BCF" w:rsidRDefault="0027215F">
            <w:pPr>
              <w:spacing w:after="0"/>
            </w:pPr>
            <w:r>
              <w:rPr>
                <w:sz w:val="17"/>
              </w:rPr>
              <w:t>Vutrisirana sódica — amiloidose hereditária mediada por transtirretina com polineuropatia em estágio II, em adultos. Recomendação preliminar desfavorável à incorporação ao SUS.</w:t>
            </w:r>
          </w:p>
        </w:tc>
      </w:tr>
      <w:tr w:rsidR="00122BCF" w14:paraId="01A5C5AA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0D301" w14:textId="77777777" w:rsidR="00122BCF" w:rsidRDefault="00122BCF">
            <w:pPr>
              <w:spacing w:after="0"/>
            </w:pPr>
            <w:hyperlink r:id="rId67" w:history="1">
              <w:r>
                <w:rPr>
                  <w:color w:val="044E93"/>
                  <w:u w:val="single"/>
                </w:rPr>
                <w:t>nº 104/2026</w:t>
              </w:r>
            </w:hyperlink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B7692" w14:textId="77777777" w:rsidR="00122BCF" w:rsidRDefault="0027215F">
            <w:pPr>
              <w:spacing w:after="0"/>
            </w:pPr>
            <w:r>
              <w:rPr>
                <w:sz w:val="17"/>
              </w:rPr>
              <w:t>Ato de 02/10/2026; DOU de 06/10/2026; contribuições de 07/10 a 26/10/2026</w:t>
            </w:r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0BB7F" w14:textId="77777777" w:rsidR="00122BCF" w:rsidRDefault="0027215F">
            <w:pPr>
              <w:spacing w:after="0"/>
            </w:pPr>
            <w:r>
              <w:rPr>
                <w:sz w:val="17"/>
              </w:rPr>
              <w:t>Dostarlimabe — mulheres adultas com câncer do endométrio primário avançado ou recorrente, dMMR ou MSI-H. Recomendação preliminar desfavorável à incorporação ao SUS.</w:t>
            </w:r>
          </w:p>
        </w:tc>
      </w:tr>
      <w:tr w:rsidR="00122BCF" w14:paraId="54E1444B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CCC05" w14:textId="77777777" w:rsidR="00122BCF" w:rsidRDefault="00122BCF">
            <w:pPr>
              <w:spacing w:after="0"/>
            </w:pPr>
            <w:hyperlink r:id="rId68" w:history="1">
              <w:r>
                <w:rPr>
                  <w:color w:val="044E93"/>
                  <w:u w:val="single"/>
                </w:rPr>
                <w:t>nº 105/2026</w:t>
              </w:r>
            </w:hyperlink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BBDAC" w14:textId="77777777" w:rsidR="00122BCF" w:rsidRDefault="0027215F">
            <w:pPr>
              <w:spacing w:after="0"/>
            </w:pPr>
            <w:r>
              <w:rPr>
                <w:sz w:val="17"/>
              </w:rPr>
              <w:t>Ato de 20/10/2026; DOU de 21/10/2026; contribuições de 22/10 a 10/11/2026</w:t>
            </w:r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85D54" w14:textId="77777777" w:rsidR="00122BCF" w:rsidRDefault="0027215F">
            <w:pPr>
              <w:spacing w:after="0"/>
            </w:pPr>
            <w:r>
              <w:rPr>
                <w:sz w:val="17"/>
              </w:rPr>
              <w:t>Riociguate — adultos com hipertensão pulmonar tromboembólica crônica que não podem realizar tratamento intervencionista ou que permanecem com doença residual após angioplastia pulmonar por balão. Recomendação preliminar desfavorável à incorporação ao SUS.</w:t>
            </w:r>
          </w:p>
        </w:tc>
      </w:tr>
      <w:tr w:rsidR="00122BCF" w14:paraId="362EE311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5D6EC" w14:textId="77777777" w:rsidR="00122BCF" w:rsidRDefault="00122BCF">
            <w:pPr>
              <w:spacing w:after="0"/>
            </w:pPr>
            <w:hyperlink r:id="rId69" w:history="1">
              <w:r>
                <w:rPr>
                  <w:color w:val="044E93"/>
                  <w:u w:val="single"/>
                </w:rPr>
                <w:t>nº 106/2026</w:t>
              </w:r>
            </w:hyperlink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13083B" w14:textId="77777777" w:rsidR="00122BCF" w:rsidRDefault="0027215F">
            <w:pPr>
              <w:spacing w:after="0"/>
            </w:pPr>
            <w:r>
              <w:rPr>
                <w:sz w:val="17"/>
              </w:rPr>
              <w:t>Ato de 20/10/2026; DOU de 21/10/2026; contribuições de 22/10 a 10/11/2026</w:t>
            </w:r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F99DF" w14:textId="77777777" w:rsidR="00122BCF" w:rsidRDefault="0027215F">
            <w:pPr>
              <w:spacing w:after="0"/>
            </w:pPr>
            <w:r>
              <w:rPr>
                <w:sz w:val="17"/>
              </w:rPr>
              <w:t>Transplante alogênico de células-tronco hematopoiéticas de doador não aparentado — pacientes com linfoma de Hodgkin recidivado ou refratário. Recomendação preliminar favorável à incorporação ao SUS.</w:t>
            </w:r>
          </w:p>
        </w:tc>
      </w:tr>
      <w:tr w:rsidR="00122BCF" w14:paraId="7DC25A0F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9E1F6" w14:textId="77777777" w:rsidR="00122BCF" w:rsidRDefault="00122BCF">
            <w:pPr>
              <w:spacing w:after="0"/>
            </w:pPr>
            <w:hyperlink r:id="rId70" w:history="1">
              <w:r>
                <w:rPr>
                  <w:color w:val="044E93"/>
                  <w:u w:val="single"/>
                </w:rPr>
                <w:t>nº 107/2026</w:t>
              </w:r>
            </w:hyperlink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E6B97" w14:textId="77777777" w:rsidR="00122BCF" w:rsidRDefault="0027215F">
            <w:pPr>
              <w:spacing w:after="0"/>
            </w:pPr>
            <w:r>
              <w:rPr>
                <w:sz w:val="17"/>
              </w:rPr>
              <w:t>Ato de 27/10/2026; DOU de 28/10/2026; contribuições de 29/10 a 17/11/2026</w:t>
            </w:r>
          </w:p>
        </w:tc>
        <w:tc>
          <w:tcPr>
            <w:tcW w:w="3312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255CC" w14:textId="77777777" w:rsidR="00122BCF" w:rsidRDefault="0027215F">
            <w:pPr>
              <w:spacing w:after="0"/>
            </w:pPr>
            <w:r>
              <w:rPr>
                <w:sz w:val="17"/>
              </w:rPr>
              <w:t>Vutrisirana sódica — amiloidose hereditária mediada por transtirretina com polineuropatia em estágio I. Recomendação preliminar desfavorável à incorporação ao SUS.</w:t>
            </w:r>
          </w:p>
        </w:tc>
      </w:tr>
    </w:tbl>
    <w:p w14:paraId="2405E152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4F04898D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A1C19C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156ª Reunião Ordinária da CONITEC — recomendações sem decisão publicada</w:t>
            </w:r>
          </w:p>
          <w:p w14:paraId="288D47B4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 xml:space="preserve">O Comitê de Medicamentos da CONITEC, na 156ª Reunião Ordinária (07 e 08/10/2026), recomendou a incorporação do bezafibrato (colangite biliar primária) e da eplerenona (insuficiência cardíaca com fração de ejeção reduzida, classes NYHA II a IV) e a não incorporação do elafibranor, da toxina </w:t>
            </w:r>
            <w:r>
              <w:rPr>
                <w:color w:val="0A243B"/>
                <w:sz w:val="19"/>
              </w:rPr>
              <w:lastRenderedPageBreak/>
              <w:t xml:space="preserve">botulínica A (profilaxia de migrânea crônica após falha de três ou mais profiláticos), do sotatercepte (hipertensão arterial pulmonar, classes funcionais III e IV) e do elexacaftor+tezacaftor+ivacaftor (fibrose cística, nas duas indicações avaliadas). Até o fechamento desta edição não havia portaria de decisão publicada no Diário Oficial da União quanto a essas recomendações. As recomendações do Comitê de PCDT da mesma reunião foram publicadas nas Portarias Conjuntas SAES/SCTIE nº 89 a 106. Fontes: </w:t>
            </w:r>
            <w:hyperlink r:id="rId71" w:history="1">
              <w:r w:rsidR="00122BCF">
                <w:rPr>
                  <w:color w:val="044E93"/>
                  <w:u w:val="single"/>
                </w:rPr>
                <w:t>CONITEC — pauta pós-reunião, Comitê de Medicamentos (156ª RO)</w:t>
              </w:r>
            </w:hyperlink>
            <w:r>
              <w:rPr>
                <w:color w:val="0A243B"/>
                <w:sz w:val="19"/>
              </w:rPr>
              <w:t xml:space="preserve"> · </w:t>
            </w:r>
            <w:hyperlink r:id="rId72" w:history="1">
              <w:r w:rsidR="00122BCF">
                <w:rPr>
                  <w:color w:val="044E93"/>
                  <w:u w:val="single"/>
                </w:rPr>
                <w:t>CONITEC — pauta pós-reunião, Comitê de PCDT (156ª RO)</w:t>
              </w:r>
            </w:hyperlink>
            <w:r>
              <w:rPr>
                <w:color w:val="0A243B"/>
                <w:sz w:val="19"/>
              </w:rPr>
              <w:t>.</w:t>
            </w:r>
          </w:p>
        </w:tc>
      </w:tr>
    </w:tbl>
    <w:p w14:paraId="7C1DB2CC" w14:textId="77777777" w:rsidR="00122BCF" w:rsidRDefault="00122BCF">
      <w:pPr>
        <w:spacing w:after="120"/>
      </w:pPr>
    </w:p>
    <w:p w14:paraId="1A612E61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4.4 ANS</w:t>
      </w:r>
      <w:r>
        <w:t xml:space="preserve">  </w:t>
      </w:r>
      <w:r>
        <w:rPr>
          <w:b/>
          <w:color w:val="FFFFFF"/>
          <w:sz w:val="14"/>
          <w:shd w:val="clear" w:color="auto" w:fill="0A243B"/>
        </w:rPr>
        <w:t xml:space="preserve"> SAÚDE SUPLEMENTAR 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9"/>
        <w:gridCol w:w="7672"/>
      </w:tblGrid>
      <w:tr w:rsidR="00122BCF" w14:paraId="2D6A9195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3CF2DE" w14:textId="77777777" w:rsidR="00122BCF" w:rsidRDefault="0027215F">
            <w:pPr>
              <w:spacing w:after="2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ANS · RESOLUÇÃO NORMATIVA Nº 681/2026 — ROL DE PROCEDIMENTOS</w:t>
            </w:r>
          </w:p>
          <w:p w14:paraId="463DE7E5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Resolução Normativa ANS nº 681, de 2 de outubro de 2026 — Diretoria Colegiada — publicada no Diário Oficial da União de 06/10/2026 — cobertura obrigatória a partir de 03/11/2026</w:t>
            </w:r>
          </w:p>
          <w:p w14:paraId="4FF60D57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Colangioscopia com litotripsia a laser ou eletro-hidráulica para cálculos biliares complexos.</w:t>
            </w:r>
          </w:p>
        </w:tc>
      </w:tr>
      <w:tr w:rsidR="00122BCF" w14:paraId="6F37EC6C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C5FC5D6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3135923D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Inclusão no Rol de Procedimentos e Eventos em Saúde da colangioscopia com litotripsia a laser ou eletro-hidráulica, aprovada pela Diretoria Colegiada em 02/10/2026, com cobertura obrigatória a partir de 03/11/2026 em caso de falha de tratamento por colangiopancreatografia retrógrada endoscópica. Trâmite: 53ª e 55ª reuniões técnicas da Comissão de Atualização do Rol de Procedimentos e Eventos em Saúde Suplementar (Cosaúde), Consulta Pública 175 e Audiência Pública 68.</w:t>
            </w:r>
          </w:p>
        </w:tc>
      </w:tr>
      <w:tr w:rsidR="00122BCF" w14:paraId="22D7D8BA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4F75E943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Desdobramento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9829D42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 proposta foi enviada à Diretoria Colegiada na 55ª reunião técnica da Cosaúde; a resolução normativa é o ato dela decorrente.</w:t>
            </w:r>
          </w:p>
        </w:tc>
      </w:tr>
      <w:tr w:rsidR="00122BCF" w14:paraId="32C619ED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4DA212D7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DB98F94" w14:textId="77777777" w:rsidR="00122BCF" w:rsidRDefault="00122BCF">
            <w:pPr>
              <w:spacing w:after="0"/>
            </w:pPr>
            <w:hyperlink r:id="rId73" w:history="1">
              <w:r>
                <w:rPr>
                  <w:color w:val="044E93"/>
                  <w:u w:val="single"/>
                </w:rPr>
                <w:t>DOU — Resolução Normativa ANS nº 681, de 2 de outubro de 2026</w:t>
              </w:r>
            </w:hyperlink>
            <w:r w:rsidR="0027215F">
              <w:rPr>
                <w:sz w:val="19"/>
              </w:rPr>
              <w:br/>
            </w:r>
            <w:hyperlink r:id="rId74" w:history="1">
              <w:r>
                <w:rPr>
                  <w:color w:val="044E93"/>
                  <w:u w:val="single"/>
                </w:rPr>
                <w:t>ANS — Tratamento para cálculo biliar será coberto pelos planos de saúde</w:t>
              </w:r>
            </w:hyperlink>
          </w:p>
        </w:tc>
      </w:tr>
    </w:tbl>
    <w:p w14:paraId="74DD67EB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9"/>
        <w:gridCol w:w="7672"/>
      </w:tblGrid>
      <w:tr w:rsidR="00122BCF" w14:paraId="184B5328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E8A5DE" w14:textId="77777777" w:rsidR="00122BCF" w:rsidRDefault="0027215F">
            <w:pPr>
              <w:spacing w:after="2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ANS · RESOLUÇÃO NORMATIVA Nº 682/2026 — ROL DE PROCEDIMENTOS (644ª REUNIÃO DA DIRETORIA COLEGIADA)</w:t>
            </w:r>
          </w:p>
          <w:p w14:paraId="34302D76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Resolução Normativa ANS nº 682, de 15 de outubro de 2026 — Diretoria Colegiada — publicada no Diário Oficial da União de 19/10/2026 — cobertura obrigatória a partir de 03/11/2026</w:t>
            </w:r>
          </w:p>
          <w:p w14:paraId="374CCC6D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Broncoscopia com criobiópsia transbrônquica para pacientes com suspeita de doença pulmonar intersticial.</w:t>
            </w:r>
          </w:p>
        </w:tc>
      </w:tr>
      <w:tr w:rsidR="00122BCF" w14:paraId="639979AC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CC1EC0B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689128C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Inclusão no Rol de Procedimentos e Eventos em Saúde da broncoscopia com criobiópsia transbrônquica para pacientes com suspeita de doença pulmonar intersticial, alterando a Resolução Normativa nº 465/2021 em cumprimento ao art. 10, §§ 4º, 7º e 8º, da Lei nº 9.656/1998. Cobertura obrigatória a partir de 03/11/2026. Trâmite: 52ª e 55ª reuniões técnicas da Cosaúde e Consulta Pública 174.</w:t>
            </w:r>
          </w:p>
        </w:tc>
      </w:tr>
      <w:tr w:rsidR="00122BCF" w14:paraId="2F01B618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1DD9C25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Desdobramento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DBBF70D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 atualização do Rol foi aprovada na 644ª Reunião Ordinária da Diretoria Colegiada, em 09/10/2026, a partir do retorno da consulta pública e da Nota Técnica de Recomendação Final. Na mesma reunião foi apreciada a proposta de alteração da Instrução Normativa ANS nº 31, relativa ao Monitoramento da Garantia de Atendimento, que se desdobrou na Consulta Pública 179.</w:t>
            </w:r>
          </w:p>
        </w:tc>
      </w:tr>
      <w:tr w:rsidR="00122BCF" w14:paraId="6EEBEF7A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FB380A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45C2B0A" w14:textId="77777777" w:rsidR="00122BCF" w:rsidRDefault="00122BCF">
            <w:pPr>
              <w:spacing w:after="0"/>
            </w:pPr>
            <w:hyperlink r:id="rId75" w:history="1">
              <w:r>
                <w:rPr>
                  <w:color w:val="044E93"/>
                  <w:u w:val="single"/>
                </w:rPr>
                <w:t>DOU — Resolução Normativa ANS nº 682, de 15 de outubro de 2026</w:t>
              </w:r>
            </w:hyperlink>
            <w:r w:rsidR="0027215F">
              <w:rPr>
                <w:sz w:val="19"/>
              </w:rPr>
              <w:br/>
            </w:r>
            <w:hyperlink r:id="rId76" w:history="1">
              <w:r>
                <w:rPr>
                  <w:color w:val="044E93"/>
                  <w:u w:val="single"/>
                </w:rPr>
                <w:t>ANS — Deliberações da 644ª Reunião da Diretoria Colegiada</w:t>
              </w:r>
            </w:hyperlink>
          </w:p>
        </w:tc>
      </w:tr>
    </w:tbl>
    <w:p w14:paraId="6C4F1B25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9"/>
        <w:gridCol w:w="7672"/>
      </w:tblGrid>
      <w:tr w:rsidR="00122BCF" w14:paraId="7877868B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D15626" w14:textId="77777777" w:rsidR="00122BCF" w:rsidRDefault="0027215F">
            <w:pPr>
              <w:spacing w:after="2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ANS · CONSULTA PÚBLICA 178 E AUDIÊNCIA PÚBLICA 70</w:t>
            </w:r>
          </w:p>
          <w:p w14:paraId="46E2C573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Consulta Pública 178, com contribuições até 26/10/2026, e Audiência Pública 70, realizada em 16/10/2026 — Agência Nacional de Saúde Suplementar</w:t>
            </w:r>
          </w:p>
          <w:p w14:paraId="04BD97DC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Propostas de inclusão no Rol com recomendação preliminar de não inclusão.</w:t>
            </w:r>
          </w:p>
        </w:tc>
      </w:tr>
      <w:tr w:rsidR="00122BCF" w14:paraId="262D2C00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C71887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A8D34BE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Somatrogona, para deficiência do hormônio do crescimento em crianças a partir de três anos e em adolescentes, e levomalato de cabozantinibe, para tumores neuroendócrinos bem diferenciados, irressecáveis ou metastáticos, após duas ou mais terapias. Recomendação preliminar de não inclusão no Rol. A audiência pública foi aprovada na 12ª Reunião Extraordinária da Diretoria Colegiada, em 02/10/2026.</w:t>
            </w:r>
          </w:p>
        </w:tc>
      </w:tr>
      <w:tr w:rsidR="00122BCF" w14:paraId="1DD98885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DFDC0B6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Desdobramento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AD6CF3E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Encerrado o prazo de contribuições, as propostas retornam à Diretoria Colegiada para deliberação final.</w:t>
            </w:r>
          </w:p>
        </w:tc>
      </w:tr>
      <w:tr w:rsidR="00122BCF" w14:paraId="77278752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D5707B2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ECF060A" w14:textId="77777777" w:rsidR="00122BCF" w:rsidRDefault="00122BCF">
            <w:pPr>
              <w:spacing w:after="0"/>
            </w:pPr>
            <w:hyperlink r:id="rId77" w:history="1">
              <w:r>
                <w:rPr>
                  <w:color w:val="044E93"/>
                  <w:u w:val="single"/>
                </w:rPr>
                <w:t>ANS — Audiência Pública nº 70</w:t>
              </w:r>
            </w:hyperlink>
            <w:r w:rsidR="0027215F">
              <w:rPr>
                <w:sz w:val="19"/>
              </w:rPr>
              <w:br/>
            </w:r>
            <w:hyperlink r:id="rId78" w:history="1">
              <w:r>
                <w:rPr>
                  <w:color w:val="044E93"/>
                  <w:u w:val="single"/>
                </w:rPr>
                <w:t>ANS — ANS promove Audiência Pública 70</w:t>
              </w:r>
            </w:hyperlink>
          </w:p>
        </w:tc>
      </w:tr>
    </w:tbl>
    <w:p w14:paraId="427F3EE3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9"/>
        <w:gridCol w:w="7672"/>
      </w:tblGrid>
      <w:tr w:rsidR="00122BCF" w14:paraId="70E2B635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9C6C19" w14:textId="77777777" w:rsidR="00122BCF" w:rsidRDefault="0027215F">
            <w:pPr>
              <w:spacing w:after="2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ANS · CONSULTA PÚBLICA 179 — MONITORAMENTO DA GARANTIA DE ATENDIMENTO</w:t>
            </w:r>
          </w:p>
          <w:p w14:paraId="59EBC88E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Consulta Pública 179 — Agência Nacional de Saúde Suplementar — aberta em 23/10/2026, com contribuições até 07/12/2026</w:t>
            </w:r>
          </w:p>
          <w:p w14:paraId="4579E8BF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Alteração dos critérios do Monitoramento da Garantia de Atendimento, baseado em reclamações sobre prazos máximos de atendimento e negativas de cobertura.</w:t>
            </w:r>
          </w:p>
        </w:tc>
      </w:tr>
      <w:tr w:rsidR="00122BCF" w14:paraId="478F23CC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447512C1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A5D478F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 xml:space="preserve">A proposta mantém os elementos centrais da metodologia vigente — reclamações não resolvidas pela operadora, Faixas 0 a 3, reincidência por dois períodos na Faixa 3 e número mínimo de reclamações — e altera os critérios para identificar operadoras com risco à qualidade ou à continuidade da assistência. Para operadoras médico-hospitalares, passa a considerar desempenho significativamente inferior ao das demais operadoras ou piora por dois períodos seguidos. Para operadoras exclusivamente odontológicas, deixa </w:t>
            </w:r>
            <w:r>
              <w:rPr>
                <w:sz w:val="19"/>
              </w:rPr>
              <w:t>de aplicar, no acompanhamento regular, a suspensão temporária da comercialização de planos.</w:t>
            </w:r>
          </w:p>
        </w:tc>
      </w:tr>
      <w:tr w:rsidR="00122BCF" w14:paraId="63CF8792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595D23B2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Desdobramento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652F54A7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Decorre da proposta de alteração da Instrução Normativa ANS nº 31 apreciada na 644ª Reunião Ordinária da Diretoria Colegiada, em 09/10/2026. A suspensão de comercialização é matéria recorrente em ações de operadoras contra a ANS na Justiça Federal.</w:t>
            </w:r>
          </w:p>
        </w:tc>
      </w:tr>
      <w:tr w:rsidR="00122BCF" w14:paraId="46686109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B90E460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09605C6" w14:textId="77777777" w:rsidR="00122BCF" w:rsidRDefault="00122BCF">
            <w:pPr>
              <w:spacing w:after="0"/>
            </w:pPr>
            <w:hyperlink r:id="rId79" w:history="1">
              <w:r>
                <w:rPr>
                  <w:color w:val="044E93"/>
                  <w:u w:val="single"/>
                </w:rPr>
                <w:t>ANS — Consulta Pública 179: ANS recebe contribuições sobre o Monitoramento da Garantia de Atendimento</w:t>
              </w:r>
            </w:hyperlink>
          </w:p>
        </w:tc>
      </w:tr>
    </w:tbl>
    <w:p w14:paraId="2D5F6386" w14:textId="77777777" w:rsidR="00122BCF" w:rsidRDefault="00122BCF">
      <w:pPr>
        <w:spacing w:after="120"/>
      </w:pPr>
    </w:p>
    <w:p w14:paraId="3F79C992" w14:textId="77777777" w:rsidR="00122BCF" w:rsidRDefault="0027215F">
      <w:pPr>
        <w:pBdr>
          <w:bottom w:val="single" w:sz="12" w:space="4" w:color="044E93"/>
        </w:pBdr>
        <w:spacing w:before="200" w:after="100"/>
      </w:pPr>
      <w:bookmarkStart w:id="4" w:name="_RS_sec5"/>
      <w:r>
        <w:rPr>
          <w:b/>
          <w:color w:val="044E93"/>
          <w:sz w:val="26"/>
        </w:rPr>
        <w:t>5. Iniciativas Institucionais e Boas Práticas</w:t>
      </w:r>
      <w:bookmarkEnd w:id="4"/>
    </w:p>
    <w:p w14:paraId="3E36C13A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5.1 STF e CNJ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6E29A107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9FAA15" w14:textId="77777777" w:rsidR="00122BCF" w:rsidRDefault="0027215F">
            <w:pPr>
              <w:spacing w:after="2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CNJ · SEMANA NACIONAL DE CONCILIAÇÃO EM SAÚDE SUPLEMENTAR</w:t>
            </w:r>
          </w:p>
          <w:p w14:paraId="694CC390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Conselho Nacional de Justiça — mutirão de 9 a 13 de novembro de 2026 — notícia institucional de 26/10/2026</w:t>
            </w:r>
          </w:p>
          <w:p w14:paraId="40F766A5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Esforço concentrado de conciliação em processos de saúde suplementar nos tribunais de justiça.</w:t>
            </w:r>
          </w:p>
        </w:tc>
      </w:tr>
      <w:tr w:rsidR="00122BCF" w14:paraId="1A3E827B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4E13889F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E6D17FF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 xml:space="preserve">Os tribunais de justiça realizarão, de 9 a 13 de novembro de 2026, a Semana Nacional de Conciliação em Saúde Suplementar, sob coordenação do </w:t>
            </w:r>
            <w:r>
              <w:rPr>
                <w:sz w:val="19"/>
              </w:rPr>
              <w:lastRenderedPageBreak/>
              <w:t>Conselho Nacional de Justiça, sobre mais de cinco mil processos indicados pelas operadoras. A ação decorre de acordo firmado em junho de 2026 entre o CNJ e as operadoras SulAmérica, Hapvida, Amil e Unimed do Brasil, a Associação Brasileira de Planos de Saúde e a Federação Nacional de Saúde Suplementar. Os Núcleos Permanentes de Métodos Consensuais de Solução de Conflitos e os Centros Judiciários de Solução de Conflitos e de Cidadania organizam os trabalhos. Temas: autorização de procedimento, material, exam</w:t>
            </w:r>
            <w:r>
              <w:rPr>
                <w:sz w:val="19"/>
              </w:rPr>
              <w:t>e e reembolso; medicamento; questões não assistenciais; carência contratual; reajuste anual e por faixa etária; e Rol de Procedimentos. A Agência Nacional de Saúde Suplementar promoveu, no fim de outubro de 2026, treinamento para 340 conciliadores dos tribunais.</w:t>
            </w:r>
          </w:p>
        </w:tc>
      </w:tr>
      <w:tr w:rsidR="00122BCF" w14:paraId="5F6ED33B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B207149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6A6FE18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Segundo o painel de estatística de Direito à Saúde do CNJ, cerca de 221 mil processos de saúde suplementar estavam pendentes de julgamento ao fim de setembro de 2026; no mesmo período foram realizadas 22.208 audiências conciliatórias, com mais de 7,4 mil acordos homologados. A previsão para a semana é de mais de 3,2 mil audiências.</w:t>
            </w:r>
          </w:p>
        </w:tc>
      </w:tr>
      <w:tr w:rsidR="00122BCF" w14:paraId="1B831695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9AA6995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9A1493A" w14:textId="77777777" w:rsidR="00122BCF" w:rsidRDefault="00122BCF">
            <w:pPr>
              <w:spacing w:after="0"/>
            </w:pPr>
            <w:hyperlink r:id="rId80" w:history="1">
              <w:r>
                <w:rPr>
                  <w:color w:val="044E93"/>
                  <w:u w:val="single"/>
                </w:rPr>
                <w:t>CNJ — Justiça faz mutirão para conciliação de processos em saúde suplementar em novembro</w:t>
              </w:r>
            </w:hyperlink>
          </w:p>
        </w:tc>
      </w:tr>
    </w:tbl>
    <w:p w14:paraId="0F0603CF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3A4EEE55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CCE015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CNJ/FONAJUS · FONAJUS ITINERANTE — CEARÁ</w:t>
            </w:r>
          </w:p>
          <w:p w14:paraId="72BD7532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Conselho Nacional de Justiça — Fórum Nacional do Judiciário para a Saúde — 14 e 15 de outubro de 2026 — notícia institucional de 15/10/2026</w:t>
            </w:r>
          </w:p>
          <w:p w14:paraId="6945EAD5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Debates e capacitação sobre judicialização da saúde, com foco em soluções consensuais e no fortalecimento dos NatJus.</w:t>
            </w:r>
          </w:p>
        </w:tc>
      </w:tr>
      <w:tr w:rsidR="00122BCF" w14:paraId="121E698B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0119FD83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D1F3AC4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 xml:space="preserve">Edição do Fonajus Itinerante realizada no Ceará, em parceria com o Tribunal de Justiça do Ceará e a Justiça Federal no Ceará, com debates sobre os desafios da judicialização da saúde e capacitações para magistrados, servidores e demais profissionais da área, realizadas na Escola Superior da Magistratura do Ceará. A programação incluiu reuniões na sede da Justiça Federal e no Núcleo de Defesa da Saúde da Defensoria Pública do Estado, e encontro com a presidência do Tribunal de Justiça do Ceará, em que foram </w:t>
            </w:r>
            <w:r>
              <w:rPr>
                <w:sz w:val="19"/>
              </w:rPr>
              <w:t>tratados o fortalecimento dos Núcleos de Apoio Técnico do Judiciário e a qualificação das decisões judiciais na área.</w:t>
            </w:r>
          </w:p>
        </w:tc>
      </w:tr>
      <w:tr w:rsidR="00122BCF" w14:paraId="5FDF169C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3C3AD7F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4E3BD38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 iniciativa integra a Política Judiciária de Monitoramento e Resolução das Demandas de Assistência à Saúde e reforça o apoio técnico dos NatJus à instrução das demandas.</w:t>
            </w:r>
          </w:p>
        </w:tc>
      </w:tr>
      <w:tr w:rsidR="00122BCF" w14:paraId="4193C7DF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0C7355E3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3FB29891" w14:textId="77777777" w:rsidR="00122BCF" w:rsidRDefault="00122BCF">
            <w:pPr>
              <w:spacing w:after="0"/>
            </w:pPr>
            <w:hyperlink r:id="rId81" w:history="1">
              <w:r>
                <w:rPr>
                  <w:color w:val="044E93"/>
                  <w:u w:val="single"/>
                </w:rPr>
                <w:t>CNJ — Ação itinerante do Fórum Nacional do Judiciário para a Saúde chega ao Ceará</w:t>
              </w:r>
            </w:hyperlink>
          </w:p>
        </w:tc>
      </w:tr>
    </w:tbl>
    <w:p w14:paraId="5D677DA4" w14:textId="77777777" w:rsidR="00122BCF" w:rsidRDefault="00122BCF">
      <w:pPr>
        <w:spacing w:after="120"/>
      </w:pPr>
    </w:p>
    <w:p w14:paraId="664BEF4B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5.2 TRFs e TJs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5"/>
        <w:gridCol w:w="7676"/>
      </w:tblGrid>
      <w:tr w:rsidR="00122BCF" w14:paraId="4AFAB78F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27ED9C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TRF6 · COJUS E CEJUSC-BH — CONCILIAÇÃO EM PROCESSOS DE HANSENÍASE</w:t>
            </w:r>
          </w:p>
          <w:p w14:paraId="38D33996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Tribunal Regional Federal da 6ª Região — notícia institucional de 07/10/2026</w:t>
            </w:r>
          </w:p>
          <w:p w14:paraId="1A550703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Fluxo conjunto com a Procuradoria Regional da União em Minas Gerais, com base na Recomendação CJF nº 3/2026.</w:t>
            </w:r>
          </w:p>
        </w:tc>
      </w:tr>
      <w:tr w:rsidR="00122BCF" w14:paraId="56280BA7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0F60CF01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FF21BFA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Identificação de processos passíveis de acordo com a União em demandas de pessoas atingidas pela política de isolamento compulsório da hanseníase, conforme a Recomendação do Conselho da Justiça Federal (CJF) nº 3, de 08/06/2026, relativa ao Programa Nacional de Negociação 33 — Hanseníase.</w:t>
            </w:r>
          </w:p>
        </w:tc>
      </w:tr>
      <w:tr w:rsidR="00122BCF" w14:paraId="71653BC2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5953EA9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35BBCC3" w14:textId="77777777" w:rsidR="00122BCF" w:rsidRDefault="00122BCF">
            <w:pPr>
              <w:spacing w:after="0"/>
            </w:pPr>
            <w:hyperlink r:id="rId82" w:history="1">
              <w:r>
                <w:rPr>
                  <w:color w:val="044E93"/>
                  <w:u w:val="single"/>
                </w:rPr>
                <w:t>TRF6 — TRF6 amplia conciliação em processos relacionados à hanseníase</w:t>
              </w:r>
            </w:hyperlink>
          </w:p>
        </w:tc>
      </w:tr>
    </w:tbl>
    <w:p w14:paraId="53B28726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07DAB0B2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F79872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TRF3 · RESOLUÇÃO PRES Nº 861/2026 — NATJUS3R</w:t>
            </w:r>
          </w:p>
          <w:p w14:paraId="6FA00682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Resolução PRES nº 861, de 2 de outubro de 2026 — Tribunal Regional Federal da 3ª Região — Presidência — disponibilizada no Diário Eletrônico da Justiça Federal da 3ª Região nº 186/2026, de 07/10/2026</w:t>
            </w:r>
          </w:p>
          <w:p w14:paraId="692692CD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Institui o Núcleo de Apoio Técnico do Judiciário em Saúde da Justiça Federal da 3ª Região (NatJus3R).</w:t>
            </w:r>
          </w:p>
        </w:tc>
      </w:tr>
      <w:tr w:rsidR="00122BCF" w14:paraId="5E960063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BB9578E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060D9F2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Institui e disciplina o funcionamento do Núcleo de Apoio Técnico do Judiciário em Saúde da Justiça Federal da 3ª Região (NatJus3R), vinculado à Presidência do Tribunal, para fornecer subsídios técnico-científicos aos magistrados em processos que envolvam o direito à saúde, nos âmbitos da saúde pública e da saúde suplementar (art. 1º, caput e § 3º). O Núcleo tem natureza consultiva e técnico-científica, com independência técnica (art. 1º, § 1º), e é executado pela Seção do NatJus (Sunt), unidade da Seção Jud</w:t>
            </w:r>
            <w:r>
              <w:rPr>
                <w:sz w:val="19"/>
              </w:rPr>
              <w:t>iciária de São Paulo, com atuação no Tribunal e nas Seções Judiciárias de São Paulo e de Mato Grosso do Sul (art. 3º). A coordenação cabe a Juiz Federal Coordenador designado pelo Presidente do Tribunal (art. 4º).</w:t>
            </w:r>
          </w:p>
        </w:tc>
      </w:tr>
      <w:tr w:rsidR="00122BCF" w14:paraId="4E15C646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B99D040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6D6EB83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As notas técnicas não são vinculantes e não substituem a decisão judicial (art. 13, § 2º); as questões formais e de mérito cabem exclusivamente ao magistrado responsável (art. 13, § 4º). A produção das notas pode ser viabilizada por acordos de cooperação técnica com hospitais, universidades e outras instituições qualificadas, firmados pela Presidência do Tribunal após análise dos órgãos técnicos (art. 9º).</w:t>
            </w:r>
          </w:p>
        </w:tc>
      </w:tr>
      <w:tr w:rsidR="00122BCF" w14:paraId="28BA2935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464426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554FEA8" w14:textId="77777777" w:rsidR="00122BCF" w:rsidRDefault="00122BCF">
            <w:pPr>
              <w:spacing w:after="0"/>
            </w:pPr>
            <w:hyperlink r:id="rId83" w:history="1">
              <w:r>
                <w:rPr>
                  <w:color w:val="044E93"/>
                  <w:u w:val="single"/>
                </w:rPr>
                <w:t>TRF3 — Resolução PRES nº 861/2026 · Diário Eletrônico da Justiça Federal da 3ª Região nº 186/2026, de 07/10/2026</w:t>
              </w:r>
            </w:hyperlink>
          </w:p>
        </w:tc>
      </w:tr>
    </w:tbl>
    <w:p w14:paraId="08CB963F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5"/>
        <w:gridCol w:w="7676"/>
      </w:tblGrid>
      <w:tr w:rsidR="00122BCF" w14:paraId="22B67BFD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4FA703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TRF3 · ACORDO DE COOPERAÇÃO TÉCNICA — A.C. CAMARGO CANCER CENTER</w:t>
            </w:r>
          </w:p>
          <w:p w14:paraId="5BC6D370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Acordo de Cooperação Técnica entre o Tribunal Regional Federal da 3ª Região e o A.C. Camargo Cancer Center — assinatura em 23/10/2026 — notícia institucional de 26/10/2026</w:t>
            </w:r>
          </w:p>
          <w:p w14:paraId="75AA561D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Primeira parceria do NatJus3R com instituição externa, para estudos e pareceres técnico-científicos em oncologia.</w:t>
            </w:r>
          </w:p>
        </w:tc>
      </w:tr>
      <w:tr w:rsidR="00122BCF" w14:paraId="0669D0B0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4DBF70A7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451850B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O A.C. Camargo Cancer Center elaborará estudos e pareceres técnico-científicos para apoiar magistrados federais da 3ª Região em processos relativos ao direito à saúde, especialmente quanto ao fornecimento de medicamentos oncológicos. É a primeira parceria entre o Tribunal e instituição externa no âmbito do NatJus3R. As notas técnicas do Núcleo têm caráter informativo e consultivo, sem efeito vinculante.</w:t>
            </w:r>
          </w:p>
        </w:tc>
      </w:tr>
      <w:tr w:rsidR="00122BCF" w14:paraId="432EDF60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477B3AD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F34AF1E" w14:textId="77777777" w:rsidR="00122BCF" w:rsidRDefault="00122BCF">
            <w:pPr>
              <w:spacing w:after="0"/>
            </w:pPr>
            <w:hyperlink r:id="rId84" w:history="1">
              <w:r>
                <w:rPr>
                  <w:color w:val="044E93"/>
                  <w:u w:val="single"/>
                </w:rPr>
                <w:t>TRF3 — TRF3 firma acordo de cooperação técnica com o A.C. Camargo Cancer Center</w:t>
              </w:r>
            </w:hyperlink>
          </w:p>
        </w:tc>
      </w:tr>
    </w:tbl>
    <w:p w14:paraId="783C38AB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5"/>
        <w:gridCol w:w="7676"/>
      </w:tblGrid>
      <w:tr w:rsidR="00122BCF" w14:paraId="1277DF6B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56ED4F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TRF3 · ACORDO DE COOPERAÇÃO TÉCNICA — UFMS</w:t>
            </w:r>
          </w:p>
          <w:p w14:paraId="56DACCD6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Acordo de Cooperação Técnica entre o Tribunal Regional Federal da 3ª Região e a Fundação Universidade Federal de Mato Grosso do Sul — assinatura em 26/10/2026 — notícia institucional de 28/10/2026</w:t>
            </w:r>
          </w:p>
          <w:p w14:paraId="22F0FF1E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Suporte acadêmico ao NatJus3R, por projeto de extensão, com vigência de dois anos.</w:t>
            </w:r>
          </w:p>
        </w:tc>
      </w:tr>
      <w:tr w:rsidR="00122BCF" w14:paraId="694961A5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BC2C43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9EE629A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Acordo de cooperação técnica para projeto de extensão vinculado ao NatJus3R, com apoio acadêmico à análise de demandas judiciais de saúde, especialmente de fornecimento de medicamentos. A Universidade Federal de Mato Grosso do Sul disponibilizará docentes, residentes, mestrandos e doutorandos de áreas da saúde para a produção de pareceres técnicos baseados em evidências; o Tribunal garantirá acesso a sistemas e bases de dados e supervisionará as atividades. A vigência é de dois anos, com meta de cerca de 40</w:t>
            </w:r>
            <w:r>
              <w:rPr>
                <w:sz w:val="19"/>
              </w:rPr>
              <w:t>0 notas técnicas no período, além de formação e treinamento da equipe de apoio e de cursos de capacitação nos sistemas. Não há transferência de recursos financeiros entre as instituições, cabendo a cada parte os próprios custos.</w:t>
            </w:r>
          </w:p>
        </w:tc>
      </w:tr>
      <w:tr w:rsidR="00122BCF" w14:paraId="1EA17352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F33DD85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3C60458" w14:textId="77777777" w:rsidR="00122BCF" w:rsidRDefault="00122BCF">
            <w:pPr>
              <w:spacing w:after="0"/>
            </w:pPr>
            <w:hyperlink r:id="rId85" w:history="1">
              <w:r>
                <w:rPr>
                  <w:color w:val="044E93"/>
                  <w:u w:val="single"/>
                </w:rPr>
                <w:t>TRF3 — TRF3 e UFMS celebram parceria para reforçar apoio técnico em ações de saúde</w:t>
              </w:r>
            </w:hyperlink>
          </w:p>
        </w:tc>
      </w:tr>
    </w:tbl>
    <w:p w14:paraId="32D1D1FA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4B06DABD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713EB6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CURADORIA MEDIANTE CONTRIBUIÇÃO</w:t>
            </w:r>
          </w:p>
          <w:p w14:paraId="317F8C42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>Envie julgados, atos normativos e boas práticas em Direito da Saúde, com a fonte oficial. As contribuições recebidas até o dia 25 de cada mês serão avaliadas pela Comissão e poderão integrar a edição seguinte.</w:t>
            </w:r>
          </w:p>
          <w:p w14:paraId="0534860A" w14:textId="77777777" w:rsidR="00122BCF" w:rsidRDefault="00122BCF">
            <w:pPr>
              <w:spacing w:after="0"/>
              <w:jc w:val="both"/>
            </w:pPr>
            <w:hyperlink r:id="rId86" w:tooltip="Enviar contribuição por e-mail">
              <w:r>
                <w:rPr>
                  <w:b/>
                  <w:color w:val="0A243B"/>
                  <w:sz w:val="19"/>
                  <w:u w:val="single"/>
                </w:rPr>
                <w:t>radarfonajus@trf3.jus.br</w:t>
              </w:r>
            </w:hyperlink>
          </w:p>
        </w:tc>
      </w:tr>
    </w:tbl>
    <w:p w14:paraId="61026BD6" w14:textId="77777777" w:rsidR="00122BCF" w:rsidRDefault="00122BCF">
      <w:pPr>
        <w:spacing w:after="120"/>
      </w:pPr>
    </w:p>
    <w:p w14:paraId="34EFCF27" w14:textId="77777777" w:rsidR="00122BCF" w:rsidRDefault="0027215F">
      <w:pPr>
        <w:spacing w:before="140" w:after="80"/>
      </w:pPr>
      <w:r>
        <w:rPr>
          <w:b/>
          <w:color w:val="0A243B"/>
          <w:sz w:val="22"/>
        </w:rPr>
        <w:t>5.3 CONASS · Comitês de Saúde · Fonajus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5"/>
        <w:gridCol w:w="7676"/>
      </w:tblGrid>
      <w:tr w:rsidR="00122BCF" w14:paraId="7C13B697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EADFE9" w14:textId="77777777" w:rsidR="00122BCF" w:rsidRDefault="0027215F">
            <w:pPr>
              <w:spacing w:after="20"/>
            </w:pP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ANS · ACORDO DE COOPERAÇÃO TÉCNICA ANS–TRF5 (PROGRAMA PARCEIROS DA CIDADANIA)</w:t>
            </w:r>
          </w:p>
          <w:p w14:paraId="439CD831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644ª Reunião Ordinária da Diretoria Colegiada da Agência Nacional de Saúde Suplementar — 09/10/2026 — processo nº 33910.026708/2026-24</w:t>
            </w:r>
          </w:p>
          <w:p w14:paraId="731EB507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Cooperação no Programa Parceiros da Cidadania; comunicação e troca de informações técnicas em demandas de saúde suplementar.</w:t>
            </w:r>
          </w:p>
        </w:tc>
      </w:tr>
      <w:tr w:rsidR="00122BCF" w14:paraId="252D5D54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B50B22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1D00A72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Aprovação da proposta de celebração de acordo de cooperação técnica entre a Agência Nacional de Saúde Suplementar e o Tribunal Regional Federal da 5ª Região, no âmbito do Programa Parceiros da Cidadania, como item extrapauta da Diretoria de Fiscalização na 644ª Reunião Ordinária, em 09/10/2026 (processo nº 33910.026708/2026-24). Até o fechamento desta edição não havia extrato do termo publicado no Diário Oficial da União.</w:t>
            </w:r>
          </w:p>
        </w:tc>
      </w:tr>
      <w:tr w:rsidR="00122BCF" w14:paraId="03FC35A7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586235E9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ABB06AF" w14:textId="77777777" w:rsidR="00122BCF" w:rsidRDefault="00122BCF">
            <w:pPr>
              <w:spacing w:after="0"/>
            </w:pPr>
            <w:hyperlink r:id="rId87" w:history="1">
              <w:r>
                <w:rPr>
                  <w:color w:val="044E93"/>
                  <w:u w:val="single"/>
                </w:rPr>
                <w:t>ANS — Pauta da 644ª Reunião Ordinária da Diretoria Colegiada (09/10/2026)</w:t>
              </w:r>
            </w:hyperlink>
            <w:r w:rsidR="0027215F">
              <w:rPr>
                <w:sz w:val="19"/>
              </w:rPr>
              <w:br/>
            </w:r>
            <w:hyperlink r:id="rId88" w:history="1">
              <w:r>
                <w:rPr>
                  <w:color w:val="044E93"/>
                  <w:u w:val="single"/>
                </w:rPr>
                <w:t>ANS — Deliberações da 644ª Reunião da Diretoria Colegiada</w:t>
              </w:r>
            </w:hyperlink>
          </w:p>
        </w:tc>
      </w:tr>
    </w:tbl>
    <w:p w14:paraId="7DA3057B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5"/>
        <w:gridCol w:w="7676"/>
      </w:tblGrid>
      <w:tr w:rsidR="00122BCF" w14:paraId="474633B2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163A43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CFM · RESOLUÇÃO CFM Nº 2.472/2026</w:t>
            </w:r>
          </w:p>
          <w:p w14:paraId="59C622D6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Resolução CFM nº 2.472, de 24 de setembro de 2026 — Conselho Federal de Medicina — publicada no Diário Oficial da União de 28/10/2026</w:t>
            </w:r>
          </w:p>
          <w:p w14:paraId="21334762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Relação de especialidades médicas e de áreas de atuação e formas de obtenção das titulações para fins de Registro de Qualificação de Especialista.</w:t>
            </w:r>
          </w:p>
        </w:tc>
      </w:tr>
      <w:tr w:rsidR="00122BCF" w14:paraId="70634132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B3A1D3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2F808461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 xml:space="preserve">Homologa a Portaria da Comissão Mista de Especialidades (CME) nº 1/2026, que aprova a relação de especialidades médicas e de áreas de atuação médicas (Listas A e B) e as formas de obtenção das respectivas titulações (Listas C e D). Para fins de Registro de Qualificação de Especialista no Conselho Regional de Medicina, somente são válidas as titulações obtidas na forma prevista na portaria, nos termos do Decreto nº 8.516/2015 e do art. 11 da </w:t>
            </w:r>
            <w:r>
              <w:rPr>
                <w:sz w:val="19"/>
              </w:rPr>
              <w:lastRenderedPageBreak/>
              <w:t>Resolução CFM nº 2.148/2016. Revoga a Resolução CFM nº 2.380/2024. Ato de setembro publicado dentro do período de referência, registrado com dupla data.</w:t>
            </w:r>
          </w:p>
        </w:tc>
      </w:tr>
      <w:tr w:rsidR="00122BCF" w14:paraId="169BD387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AC911B4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EB8E7A6" w14:textId="77777777" w:rsidR="00122BCF" w:rsidRDefault="00122BCF">
            <w:pPr>
              <w:spacing w:after="0"/>
            </w:pPr>
            <w:hyperlink r:id="rId89" w:history="1">
              <w:r>
                <w:rPr>
                  <w:color w:val="044E93"/>
                  <w:u w:val="single"/>
                </w:rPr>
                <w:t>CFM — Resolução CFM nº 2.472, de 24 de setembro de 2026</w:t>
              </w:r>
            </w:hyperlink>
          </w:p>
        </w:tc>
      </w:tr>
    </w:tbl>
    <w:p w14:paraId="730E9E35" w14:textId="77777777" w:rsidR="00122BCF" w:rsidRDefault="00122BCF">
      <w:pPr>
        <w:spacing w:after="120"/>
      </w:pPr>
    </w:p>
    <w:p w14:paraId="12D851FD" w14:textId="77777777" w:rsidR="00122BCF" w:rsidRDefault="0027215F">
      <w:pPr>
        <w:pBdr>
          <w:bottom w:val="single" w:sz="12" w:space="4" w:color="044E93"/>
        </w:pBdr>
        <w:spacing w:before="200" w:after="100"/>
      </w:pPr>
      <w:bookmarkStart w:id="5" w:name="_RS_sec6"/>
      <w:r>
        <w:rPr>
          <w:b/>
          <w:color w:val="044E93"/>
          <w:sz w:val="26"/>
        </w:rPr>
        <w:t>6. ANVISA — Novos Registros e Indicações</w:t>
      </w:r>
      <w:bookmarkEnd w:id="5"/>
    </w:p>
    <w:p w14:paraId="0FCE1EC5" w14:textId="77777777" w:rsidR="00122BCF" w:rsidRDefault="0027215F">
      <w:pPr>
        <w:spacing w:before="100" w:after="60"/>
      </w:pPr>
      <w:r>
        <w:rPr>
          <w:b/>
          <w:color w:val="044E93"/>
          <w:sz w:val="20"/>
        </w:rPr>
        <w:t>Novos registros e indicações</w:t>
      </w:r>
    </w:p>
    <w:tbl>
      <w:tblPr>
        <w:tblW w:w="0" w:type="auto"/>
        <w:jc w:val="center"/>
        <w:tblBorders>
          <w:top w:val="single" w:sz="4" w:space="0" w:color="D3DEE8"/>
          <w:left w:val="single" w:sz="4" w:space="0" w:color="D3DEE8"/>
          <w:bottom w:val="single" w:sz="4" w:space="0" w:color="D3DEE8"/>
          <w:right w:val="single" w:sz="4" w:space="0" w:color="D3DEE8"/>
          <w:insideH w:val="single" w:sz="4" w:space="0" w:color="D3DEE8"/>
          <w:insideV w:val="single" w:sz="4" w:space="0" w:color="D3DEE8"/>
        </w:tblBorders>
        <w:tblLook w:val="04A0" w:firstRow="1" w:lastRow="0" w:firstColumn="1" w:lastColumn="0" w:noHBand="0" w:noVBand="1"/>
      </w:tblPr>
      <w:tblGrid>
        <w:gridCol w:w="2482"/>
        <w:gridCol w:w="2481"/>
        <w:gridCol w:w="2482"/>
        <w:gridCol w:w="2481"/>
      </w:tblGrid>
      <w:tr w:rsidR="00122BCF" w14:paraId="5BF3C719" w14:textId="77777777">
        <w:trPr>
          <w:jc w:val="center"/>
        </w:trPr>
        <w:tc>
          <w:tcPr>
            <w:tcW w:w="2484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7F2675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Medicamento</w:t>
            </w:r>
          </w:p>
        </w:tc>
        <w:tc>
          <w:tcPr>
            <w:tcW w:w="2484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F34DDE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Data / ato</w:t>
            </w:r>
          </w:p>
        </w:tc>
        <w:tc>
          <w:tcPr>
            <w:tcW w:w="2484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FEFEC3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Indicação</w:t>
            </w:r>
          </w:p>
        </w:tc>
        <w:tc>
          <w:tcPr>
            <w:tcW w:w="2484" w:type="dxa"/>
            <w:shd w:val="clear" w:color="auto" w:fill="0A243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8052C3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7"/>
              </w:rPr>
              <w:t>Fonte</w:t>
            </w:r>
          </w:p>
        </w:tc>
      </w:tr>
      <w:tr w:rsidR="00122BCF" w14:paraId="4D67C51C" w14:textId="77777777">
        <w:trPr>
          <w:jc w:val="center"/>
        </w:trPr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9F621" w14:textId="77777777" w:rsidR="00122BCF" w:rsidRDefault="0027215F">
            <w:pPr>
              <w:spacing w:after="0"/>
            </w:pPr>
            <w:r>
              <w:rPr>
                <w:sz w:val="17"/>
              </w:rPr>
              <w:t>Gazyva (obinutuzumabe)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D426FC" w14:textId="77777777" w:rsidR="00122BCF" w:rsidRDefault="0027215F">
            <w:pPr>
              <w:spacing w:after="0"/>
            </w:pPr>
            <w:r>
              <w:rPr>
                <w:sz w:val="17"/>
              </w:rPr>
              <w:t>Resolução-RE nº 3.970, de 08/10/2026 · DOU de 13/10/2026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84099" w14:textId="77777777" w:rsidR="00122BCF" w:rsidRDefault="0027215F">
            <w:pPr>
              <w:spacing w:after="0"/>
            </w:pPr>
            <w:r>
              <w:rPr>
                <w:sz w:val="17"/>
              </w:rPr>
              <w:t>Nova indicação: adultos com lúpus eritematoso sistêmico ativo moderado a grave, positivos para autoanticorpos, em uso de tratamento padrão.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3307C" w14:textId="77777777" w:rsidR="00122BCF" w:rsidRDefault="00122BCF">
            <w:pPr>
              <w:spacing w:after="0"/>
            </w:pPr>
            <w:hyperlink r:id="rId90" w:history="1">
              <w:r>
                <w:rPr>
                  <w:color w:val="044E93"/>
                  <w:u w:val="single"/>
                </w:rPr>
                <w:t>DOU — Resolução-RE nº 3.970/2026</w:t>
              </w:r>
            </w:hyperlink>
          </w:p>
        </w:tc>
      </w:tr>
      <w:tr w:rsidR="00122BCF" w14:paraId="26141958" w14:textId="77777777">
        <w:trPr>
          <w:jc w:val="center"/>
        </w:trPr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1A8A1" w14:textId="77777777" w:rsidR="00122BCF" w:rsidRDefault="0027215F">
            <w:pPr>
              <w:spacing w:after="0"/>
            </w:pPr>
            <w:r>
              <w:rPr>
                <w:sz w:val="17"/>
              </w:rPr>
              <w:t>Emrelis (telisotuzumabe vedotina)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ED9B7" w14:textId="77777777" w:rsidR="00122BCF" w:rsidRDefault="0027215F">
            <w:pPr>
              <w:spacing w:after="0"/>
            </w:pPr>
            <w:r>
              <w:rPr>
                <w:sz w:val="17"/>
              </w:rPr>
              <w:t>Resolução-RE nº 4.078, de 16/10/2026 · DOU de 19/10/2026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32848" w14:textId="77777777" w:rsidR="00122BCF" w:rsidRDefault="0027215F">
            <w:pPr>
              <w:spacing w:after="0"/>
            </w:pPr>
            <w:r>
              <w:rPr>
                <w:sz w:val="17"/>
              </w:rPr>
              <w:t>Registro: adultos com câncer de pulmão de células não pequenas não escamoso, localmente avançado ou metastático, com EGFR tipo selvagem e alta superexpressão da proteína c-Met, que receberam terapia sistêmica prévia.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D3416" w14:textId="77777777" w:rsidR="00122BCF" w:rsidRDefault="00122BCF">
            <w:pPr>
              <w:spacing w:after="0"/>
            </w:pPr>
            <w:hyperlink r:id="rId91" w:history="1">
              <w:r>
                <w:rPr>
                  <w:color w:val="044E93"/>
                  <w:u w:val="single"/>
                </w:rPr>
                <w:t>DOU — Resolução-RE nº 4.078/2026</w:t>
              </w:r>
            </w:hyperlink>
          </w:p>
        </w:tc>
      </w:tr>
      <w:tr w:rsidR="00122BCF" w14:paraId="239794FB" w14:textId="77777777">
        <w:trPr>
          <w:jc w:val="center"/>
        </w:trPr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D0747" w14:textId="77777777" w:rsidR="00122BCF" w:rsidRDefault="0027215F">
            <w:pPr>
              <w:spacing w:after="0"/>
            </w:pPr>
            <w:r>
              <w:rPr>
                <w:sz w:val="17"/>
              </w:rPr>
              <w:t>Poherdy (pertuzumabe)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D257B" w14:textId="77777777" w:rsidR="00122BCF" w:rsidRDefault="0027215F">
            <w:pPr>
              <w:spacing w:after="0"/>
            </w:pPr>
            <w:r>
              <w:rPr>
                <w:sz w:val="17"/>
              </w:rPr>
              <w:t>Resolução-RE nº 4.078, de 16/10/2026 · DOU de 19/10/2026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3AEBB" w14:textId="77777777" w:rsidR="00122BCF" w:rsidRDefault="0027215F">
            <w:pPr>
              <w:spacing w:after="0"/>
            </w:pPr>
            <w:r>
              <w:rPr>
                <w:sz w:val="17"/>
              </w:rPr>
              <w:t>Registro de biossimilar, pela via de desenvolvimento por comparabilidade: câncer de mama HER2-positivo metastático ou localmente recorrente não ressecável e câncer de mama HER2-positivo inicial de elevado risco de recorrência.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32DFA" w14:textId="77777777" w:rsidR="00122BCF" w:rsidRDefault="00122BCF">
            <w:pPr>
              <w:spacing w:after="0"/>
            </w:pPr>
            <w:hyperlink r:id="rId92" w:history="1">
              <w:r>
                <w:rPr>
                  <w:color w:val="044E93"/>
                  <w:u w:val="single"/>
                </w:rPr>
                <w:t>DOU — Resolução-RE nº 4.078/2026</w:t>
              </w:r>
            </w:hyperlink>
          </w:p>
        </w:tc>
      </w:tr>
      <w:tr w:rsidR="00122BCF" w14:paraId="5CFA0048" w14:textId="77777777">
        <w:trPr>
          <w:jc w:val="center"/>
        </w:trPr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B2DC4" w14:textId="77777777" w:rsidR="00122BCF" w:rsidRDefault="0027215F">
            <w:pPr>
              <w:spacing w:after="0"/>
            </w:pPr>
            <w:r>
              <w:rPr>
                <w:sz w:val="17"/>
              </w:rPr>
              <w:t>Implanon NXT (implante subdérmico de etonogestrel)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75DBE" w14:textId="77777777" w:rsidR="00122BCF" w:rsidRDefault="0027215F">
            <w:pPr>
              <w:spacing w:after="0"/>
            </w:pPr>
            <w:r>
              <w:rPr>
                <w:sz w:val="17"/>
              </w:rPr>
              <w:t>Resolução-RE nº 4.184, de 22/10/2026 · DOU de 26/10/2026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B41BF0" w14:textId="77777777" w:rsidR="00122BCF" w:rsidRDefault="0027215F">
            <w:pPr>
              <w:spacing w:after="0"/>
            </w:pPr>
            <w:r>
              <w:rPr>
                <w:sz w:val="17"/>
              </w:rPr>
              <w:t>Alteração de posologia e de condições de uso: período de eficácia contraceptiva ampliado de três para cinco anos de uso contínuo do mesmo implante, inclusive para usuárias atuais, sob orientação médica; autorizada a inserção imediatamente após o parto e imediatamente após aborto de primeiro ou segundo trimestre.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A09ED3" w14:textId="77777777" w:rsidR="00122BCF" w:rsidRDefault="00122BCF">
            <w:pPr>
              <w:spacing w:after="0"/>
            </w:pPr>
            <w:hyperlink r:id="rId93" w:history="1">
              <w:r>
                <w:rPr>
                  <w:color w:val="044E93"/>
                  <w:u w:val="single"/>
                </w:rPr>
                <w:t>DOU — Resolução-RE nº 4.184/2026</w:t>
              </w:r>
            </w:hyperlink>
          </w:p>
        </w:tc>
      </w:tr>
      <w:tr w:rsidR="00122BCF" w14:paraId="1DADD8FB" w14:textId="77777777">
        <w:trPr>
          <w:jc w:val="center"/>
        </w:trPr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9BF44" w14:textId="77777777" w:rsidR="00122BCF" w:rsidRDefault="0027215F">
            <w:pPr>
              <w:spacing w:after="0"/>
            </w:pPr>
            <w:r>
              <w:rPr>
                <w:sz w:val="17"/>
              </w:rPr>
              <w:t>Cejemly (sugemalimabe)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5B903D" w14:textId="77777777" w:rsidR="00122BCF" w:rsidRDefault="0027215F">
            <w:pPr>
              <w:spacing w:after="0"/>
            </w:pPr>
            <w:r>
              <w:rPr>
                <w:sz w:val="17"/>
              </w:rPr>
              <w:t>Resolução-RE nº 4.190, de 22/10/2026 · DOU de 26/10/2026 (registro deferido no anexo)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B92370" w14:textId="77777777" w:rsidR="00122BCF" w:rsidRDefault="0027215F">
            <w:pPr>
              <w:spacing w:after="0"/>
            </w:pPr>
            <w:r>
              <w:rPr>
                <w:sz w:val="17"/>
              </w:rPr>
              <w:t xml:space="preserve">Registro: em associação com quimioterapia à base de platina, tratamento de primeira linha de adultos com câncer de pulmão de células não pequenas </w:t>
            </w:r>
            <w:r>
              <w:rPr>
                <w:sz w:val="17"/>
              </w:rPr>
              <w:lastRenderedPageBreak/>
              <w:t>metastático sem mutações sensibilizantes do EGFR ou alterações genômicas tumorais de ALK, ROS1 ou RET.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17122" w14:textId="77777777" w:rsidR="00122BCF" w:rsidRDefault="00122BCF">
            <w:pPr>
              <w:spacing w:after="0"/>
            </w:pPr>
            <w:hyperlink r:id="rId94" w:history="1">
              <w:r>
                <w:rPr>
                  <w:color w:val="044E93"/>
                  <w:u w:val="single"/>
                </w:rPr>
                <w:t>DOU — Resolução-RE nº 4.190/2026</w:t>
              </w:r>
            </w:hyperlink>
          </w:p>
        </w:tc>
      </w:tr>
      <w:tr w:rsidR="00122BCF" w14:paraId="476DE715" w14:textId="77777777">
        <w:trPr>
          <w:jc w:val="center"/>
        </w:trPr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9CE6E" w14:textId="77777777" w:rsidR="00122BCF" w:rsidRDefault="0027215F">
            <w:pPr>
              <w:spacing w:after="0"/>
            </w:pPr>
            <w:r>
              <w:rPr>
                <w:sz w:val="17"/>
              </w:rPr>
              <w:t>Evrysdi Go (risdiplam) · Aribet, Lyrza e Wylovol (liraglutida) · Embeltah e Sevema (semaglutida)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1231C" w14:textId="77777777" w:rsidR="00122BCF" w:rsidRDefault="0027215F">
            <w:pPr>
              <w:spacing w:after="0"/>
            </w:pPr>
            <w:r>
              <w:rPr>
                <w:sz w:val="17"/>
              </w:rPr>
              <w:t>Resolução-RE nº 4.244, de 28/10/2026 (DOU de 29/10/2026)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CB825" w14:textId="77777777" w:rsidR="00122BCF" w:rsidRDefault="0027215F">
            <w:pPr>
              <w:spacing w:after="0"/>
            </w:pPr>
            <w:r>
              <w:rPr>
                <w:sz w:val="17"/>
              </w:rPr>
              <w:t>Registro de comprimido revestido de risdiplam para atrofia muscular espinhal 5q em adultos e crianças acima de dois anos, a partir de 20 kg, com diagnóstico clínico de AME Tipo 1, 2 ou 3 ou com uma a quatro cópias do gene SMN2. No mesmo ato, registro de cinco apresentações de agonistas do receptor de GLP-1: Aribet, Embeltah e Sevema para diabetes; Lyrza e Wylovol para obesidade.</w:t>
            </w:r>
          </w:p>
        </w:tc>
        <w:tc>
          <w:tcPr>
            <w:tcW w:w="2484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414E84" w14:textId="77777777" w:rsidR="00122BCF" w:rsidRDefault="00122BCF">
            <w:pPr>
              <w:spacing w:after="0"/>
            </w:pPr>
            <w:hyperlink r:id="rId95" w:history="1">
              <w:r>
                <w:rPr>
                  <w:color w:val="044E93"/>
                  <w:u w:val="single"/>
                </w:rPr>
                <w:t>DOU — Resolução-RE nº 4.244/2026</w:t>
              </w:r>
            </w:hyperlink>
          </w:p>
        </w:tc>
      </w:tr>
    </w:tbl>
    <w:p w14:paraId="5E46F542" w14:textId="77777777" w:rsidR="00122BCF" w:rsidRDefault="00122BCF">
      <w:pPr>
        <w:spacing w:after="120"/>
      </w:pPr>
    </w:p>
    <w:p w14:paraId="633BBCA4" w14:textId="77777777" w:rsidR="00122BCF" w:rsidRDefault="0027215F">
      <w:pPr>
        <w:spacing w:before="100" w:after="60"/>
      </w:pPr>
      <w:r>
        <w:rPr>
          <w:b/>
          <w:color w:val="044E93"/>
          <w:sz w:val="20"/>
        </w:rPr>
        <w:t>Medidas sanitárias e regulatórias</w:t>
      </w: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5"/>
        <w:gridCol w:w="7676"/>
      </w:tblGrid>
      <w:tr w:rsidR="00122BCF" w14:paraId="4848C8A0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C0CD5A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ANVISA · RESOLUÇÃO-RE Nº 3.947/2026</w:t>
            </w:r>
          </w:p>
          <w:p w14:paraId="5092AD24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Resolução-RE nº 3.947, de 2 de outubro de 2026 — Agência Nacional de Vigilância Sanitária — publicada no Diário Oficial da União de 06/10/2026</w:t>
            </w:r>
          </w:p>
          <w:p w14:paraId="260927CE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Medidas sanitárias contra medicamentos irregulares e recolhimentos voluntários.</w:t>
            </w:r>
          </w:p>
        </w:tc>
      </w:tr>
      <w:tr w:rsidR="00122BCF" w14:paraId="4E72BCC8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B458435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24EDB62E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Proibição de todos os lotes de insulina da Costa Mar Comércio Licitatório Ltda., por ausência de Autorização de Funcionamento de Empresa; proibição de peptídeos sem registro vendidos em sítios eletrônicos, entre os quais tirzepatida e retatrutida; recolhimento voluntário de lote de Imaavy (nipocalimabe, lote JNYJ1201) e de lote de Lizbi.</w:t>
            </w:r>
          </w:p>
        </w:tc>
      </w:tr>
      <w:tr w:rsidR="00122BCF" w14:paraId="088BDC63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2C115BB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646B6EF0" w14:textId="77777777" w:rsidR="00122BCF" w:rsidRDefault="00122BCF">
            <w:pPr>
              <w:spacing w:after="0"/>
            </w:pPr>
            <w:hyperlink r:id="rId96" w:history="1">
              <w:r>
                <w:rPr>
                  <w:color w:val="044E93"/>
                  <w:u w:val="single"/>
                </w:rPr>
                <w:t>DOU — Resolução-RE nº 3.947, de 2 de outubro de 2026</w:t>
              </w:r>
            </w:hyperlink>
            <w:r w:rsidR="0027215F">
              <w:rPr>
                <w:sz w:val="19"/>
              </w:rPr>
              <w:br/>
            </w:r>
            <w:hyperlink r:id="rId97" w:history="1">
              <w:r>
                <w:rPr>
                  <w:color w:val="044E93"/>
                  <w:u w:val="single"/>
                </w:rPr>
                <w:t>ANVISA — Anvisa proíbe venda de insulina e tirzepatida irregulares</w:t>
              </w:r>
            </w:hyperlink>
          </w:p>
        </w:tc>
      </w:tr>
    </w:tbl>
    <w:p w14:paraId="7892645B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7113AA99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20DF36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ANVISA · MEDIDAS SANITÁRIAS SOBRE MEDICAMENTOS ONCOLÓGICOS E DE SUPORTE</w:t>
            </w:r>
          </w:p>
          <w:p w14:paraId="3F1FE0AD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Resoluções-RE nº 4.105, de 15/10/2026 (DOU de 19/10/2026); nº 4.150, de 21/10/2026 (DOU de 22/10/2026); e nº 4.231, de 27/10/2026 (DOU de 28/10/2026) — Agência Nacional de Vigilância Sanitária</w:t>
            </w:r>
          </w:p>
          <w:p w14:paraId="44FB2051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Falsificação, desvio de qualidade e interdição cautelar de lotes de medicamentos empregados em oncologia e no suporte à quimioterapia.</w:t>
            </w:r>
          </w:p>
        </w:tc>
      </w:tr>
      <w:tr w:rsidR="00122BCF" w14:paraId="78883204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A84B45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007DBCD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Resolução-RE nº 4.105: apreensão dos lotes Z005197 e Z012354 de Keytruda (pembrolizumabe) 100 mg/4 mL, identificados pela detentora do registro, Merck Sharp &amp; Dohme Farmacêutica Ltda., com características divergentes das do medicamento original. Resolução-RE nº 4.150: interdição cautelar do lote 25D0808 de Fauldleuco (folinato de cálcio) 10 mg/mL, solução injetável, fabricado por Libbs Farmacêutica Ltda., por suspeita de presença de material particulado; o lote não deve ser utilizado ou comercializado até a</w:t>
            </w:r>
            <w:r>
              <w:rPr>
                <w:sz w:val="19"/>
              </w:rPr>
              <w:t xml:space="preserve"> conclusão das análises. Resolução-RE nº 4.231: suspensão de uso, comercialização, distribuição e exportação dos lotes BF25008896 de Simbeva (bevacizumabe 25 mg/mL, Laboratório Teuto Brasileiro) e BF26002105 de Abevmy </w:t>
            </w:r>
            <w:r>
              <w:rPr>
                <w:sz w:val="19"/>
              </w:rPr>
              <w:lastRenderedPageBreak/>
              <w:t>(bevacizumabe 25 mg/mL, Biocon Biologics do Brasil), por resultado fora de especificação no teste de endotoxinas bacterianas, com recolhimento voluntário pelas empresas; determina ainda o recolhimento do lote M 0465 26 de Ringer com lactato, solução injetável 500 mL, da JP Indústria Farmacêutica, após identificação de partículas na análise fiscal.</w:t>
            </w:r>
          </w:p>
        </w:tc>
      </w:tr>
      <w:tr w:rsidR="00122BCF" w14:paraId="7BD5F307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BF3CF0C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35AC21E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Pembrolizumabe, bevacizumabe e folinato de cálcio são objeto frequente de pedidos judiciais de fornecimento; as medidas afetam lotes determinados, não o registro dos medicamentos.</w:t>
            </w:r>
          </w:p>
        </w:tc>
      </w:tr>
      <w:tr w:rsidR="00122BCF" w14:paraId="45CFBC56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59D956BE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1E192F7" w14:textId="77777777" w:rsidR="00122BCF" w:rsidRDefault="00122BCF">
            <w:pPr>
              <w:spacing w:after="0"/>
            </w:pPr>
            <w:hyperlink r:id="rId98" w:history="1">
              <w:r>
                <w:rPr>
                  <w:color w:val="044E93"/>
                  <w:u w:val="single"/>
                </w:rPr>
                <w:t>DOU — Resolução-RE nº 4.105, de 15 de outubro de 2026</w:t>
              </w:r>
            </w:hyperlink>
            <w:r w:rsidR="0027215F">
              <w:rPr>
                <w:sz w:val="19"/>
              </w:rPr>
              <w:br/>
            </w:r>
            <w:hyperlink r:id="rId99" w:history="1">
              <w:r>
                <w:rPr>
                  <w:color w:val="044E93"/>
                  <w:u w:val="single"/>
                </w:rPr>
                <w:t>DOU — Resolução-RE nº 4.150, de 21 de outubro de 2026</w:t>
              </w:r>
            </w:hyperlink>
            <w:r w:rsidR="0027215F">
              <w:rPr>
                <w:sz w:val="19"/>
              </w:rPr>
              <w:br/>
            </w:r>
            <w:hyperlink r:id="rId100" w:history="1">
              <w:r>
                <w:rPr>
                  <w:color w:val="044E93"/>
                  <w:u w:val="single"/>
                </w:rPr>
                <w:t>DOU — Resolução-RE nº 4.231, de 27 de outubro de 2026</w:t>
              </w:r>
            </w:hyperlink>
          </w:p>
        </w:tc>
      </w:tr>
    </w:tbl>
    <w:p w14:paraId="4D790855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6A27F066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419499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5A6B7B"/>
                <w:sz w:val="15"/>
              </w:rPr>
              <w:t xml:space="preserve">  ANVISA · NOTA DE ESCLARECIMENTO — POLILAMININA</w:t>
            </w:r>
          </w:p>
          <w:p w14:paraId="69EE84C0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Nota de esclarecimento — Agência Nacional de Vigilância Sanitária — 22/10/2026</w:t>
            </w:r>
          </w:p>
          <w:p w14:paraId="7E67AB6A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Situação regulatória de produto experimental para lesão medular objeto de pedidos de uso compassivo.</w:t>
            </w:r>
          </w:p>
        </w:tc>
      </w:tr>
      <w:tr w:rsidR="00122BCF" w14:paraId="21711551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193E72AA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0BC1B608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 Agência informou que o pedido de anuência do estudo clínico tramitou por três anos por ausência de informações primárias, recebidas apenas em janeiro de 2026, quando o estudo foi autorizado; que a empresa patrocinadora não iniciou o estudo de fase 1 até a data da nota; que a indicação de uso compassivo defendida pela pesquisadora difere da indicação apresentada pela empresa, que não pediu alteração; que não há dados de segurança confiáveis e os pacientes submetidos ao uso não estão sendo acompanhados; que</w:t>
            </w:r>
            <w:r>
              <w:rPr>
                <w:sz w:val="19"/>
              </w:rPr>
              <w:t xml:space="preserve"> o programa de uso compassivo conduzido pela empresa não segue critérios rígidos de inclusão e exclusão; que painel técnico com participação do Conselho Federal de Medicina e de neurologistas e neurocirurgiões não recomendou a ampliação do uso compassivo, com registro de preocupações quanto a óbitos, via de administração e segurança; e que as regras de uso compassivo estão vigentes desde 2013, sem alteração.</w:t>
            </w:r>
          </w:p>
        </w:tc>
      </w:tr>
      <w:tr w:rsidR="00122BCF" w14:paraId="66F3AF56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0A4B980D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114D31D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Pertinência para pedidos judiciais de uso compassivo, à luz dos requisitos fixados no Tema 500/STF.</w:t>
            </w:r>
          </w:p>
        </w:tc>
      </w:tr>
      <w:tr w:rsidR="00122BCF" w14:paraId="4AA7B8B9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D9A721A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19180C97" w14:textId="77777777" w:rsidR="00122BCF" w:rsidRDefault="00122BCF">
            <w:pPr>
              <w:spacing w:after="0"/>
            </w:pPr>
            <w:hyperlink r:id="rId101" w:history="1">
              <w:r>
                <w:rPr>
                  <w:color w:val="044E93"/>
                  <w:u w:val="single"/>
                </w:rPr>
                <w:t>ANVISA — Nota de esclarecimento (polilaminina)</w:t>
              </w:r>
            </w:hyperlink>
          </w:p>
        </w:tc>
      </w:tr>
    </w:tbl>
    <w:p w14:paraId="1F667012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3B9BE538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E6145E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ANVISA · RESOLUÇÕES-RE Nº 4.256/2026 E Nº 4.262/2026</w:t>
            </w:r>
          </w:p>
          <w:p w14:paraId="10A82BF9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Resoluções-RE nº 4.256 e nº 4.262, de 28 de outubro de 2026 — Agência Nacional de Vigilância Sanitária — divulgação em 03/11/2026</w:t>
            </w:r>
          </w:p>
          <w:p w14:paraId="1EABB06C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Medidas sanitárias sobre dispositivos médicos usados em radioterapia superficial de câncer de pele e em irradiação de sangue para transfusão.</w:t>
            </w:r>
          </w:p>
        </w:tc>
      </w:tr>
      <w:tr w:rsidR="00122BCF" w14:paraId="1F79EB3E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6B561D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77786C4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Suspensão do dispositivo médico WCR, usado em radioterapia superficial de câncer de pele, fabricado por Safe Life Distribuidora de Produtos para Saúde Ltda., após inspeção sanitária realizada de 31/08 a 02/09/2026, que constatou fabricação em desacordo com a Resolução da Diretoria Colegiada nº 665/2022 e com a Lei nº 6.437/1977. A mesma medida foi aplicada aos produtos Irradiador de Sangue com Leitor de Código de Barras e Irradiador de Sangue por Raio-X, da Best Theratronics Ltd. (Canadá), fabricados a part</w:t>
            </w:r>
            <w:r>
              <w:rPr>
                <w:sz w:val="19"/>
              </w:rPr>
              <w:t>ir de 05/08/2026, após recusa da empresa à auditoria do programa MDSAP.</w:t>
            </w:r>
          </w:p>
        </w:tc>
      </w:tr>
      <w:tr w:rsidR="00122BCF" w14:paraId="5AD1E22B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23425B6E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43BA3D63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As medidas alcançam a oferta de radioterapia superficial e de hemoterapia, e não o registro de medicamentos.</w:t>
            </w:r>
          </w:p>
        </w:tc>
      </w:tr>
      <w:tr w:rsidR="00122BCF" w14:paraId="03B490F9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40DE785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lastRenderedPageBreak/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31BB90F3" w14:textId="77777777" w:rsidR="00122BCF" w:rsidRDefault="00122BCF">
            <w:pPr>
              <w:spacing w:after="0"/>
            </w:pPr>
            <w:hyperlink r:id="rId102" w:history="1">
              <w:r>
                <w:rPr>
                  <w:color w:val="044E93"/>
                  <w:u w:val="single"/>
                </w:rPr>
                <w:t>DOU — Resolução-RE nº 4.256, de 28 de outubro de 2026</w:t>
              </w:r>
            </w:hyperlink>
            <w:r w:rsidR="0027215F">
              <w:rPr>
                <w:sz w:val="19"/>
              </w:rPr>
              <w:br/>
            </w:r>
            <w:hyperlink r:id="rId103" w:history="1">
              <w:r>
                <w:rPr>
                  <w:color w:val="044E93"/>
                  <w:u w:val="single"/>
                </w:rPr>
                <w:t>DOU — Resolução-RE nº 4.262, de 28 de outubro de 2026</w:t>
              </w:r>
            </w:hyperlink>
            <w:r w:rsidR="0027215F">
              <w:rPr>
                <w:sz w:val="19"/>
              </w:rPr>
              <w:br/>
            </w:r>
            <w:hyperlink r:id="rId104" w:history="1">
              <w:r>
                <w:rPr>
                  <w:color w:val="044E93"/>
                  <w:u w:val="single"/>
                </w:rPr>
                <w:t>ANVISA — Anvisa suspende equipamento para radioterapia superficial</w:t>
              </w:r>
            </w:hyperlink>
          </w:p>
        </w:tc>
      </w:tr>
    </w:tbl>
    <w:p w14:paraId="412A5A01" w14:textId="77777777" w:rsidR="00122BCF" w:rsidRDefault="00122BCF">
      <w:pPr>
        <w:spacing w:after="120"/>
      </w:pPr>
    </w:p>
    <w:tbl>
      <w:tblPr>
        <w:tblW w:w="0" w:type="auto"/>
        <w:jc w:val="center"/>
        <w:tblBorders>
          <w:top w:val="single" w:sz="4" w:space="0" w:color="D3DEE8"/>
          <w:left w:val="single" w:sz="24" w:space="0" w:color="044E93"/>
          <w:bottom w:val="single" w:sz="4" w:space="0" w:color="D3DEE8"/>
          <w:right w:val="single" w:sz="4" w:space="0" w:color="D3DEE8"/>
          <w:insideH w:val="single" w:sz="4" w:space="0" w:color="D3DEE8"/>
          <w:insideV w:val="nil"/>
        </w:tblBorders>
        <w:tblLook w:val="04A0" w:firstRow="1" w:lastRow="0" w:firstColumn="1" w:lastColumn="0" w:noHBand="0" w:noVBand="1"/>
      </w:tblPr>
      <w:tblGrid>
        <w:gridCol w:w="2228"/>
        <w:gridCol w:w="7673"/>
      </w:tblGrid>
      <w:tr w:rsidR="00122BCF" w14:paraId="51EC22C8" w14:textId="77777777">
        <w:trPr>
          <w:jc w:val="center"/>
        </w:trPr>
        <w:tc>
          <w:tcPr>
            <w:tcW w:w="9936" w:type="dxa"/>
            <w:gridSpan w:val="2"/>
            <w:shd w:val="clear" w:color="auto" w:fill="F2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CB9F06" w14:textId="77777777" w:rsidR="00122BCF" w:rsidRDefault="0027215F">
            <w:pPr>
              <w:spacing w:after="20"/>
            </w:pPr>
            <w:r>
              <w:rPr>
                <w:b/>
                <w:color w:val="044E93"/>
                <w:sz w:val="14"/>
                <w:shd w:val="clear" w:color="auto" w:fill="DFF2FA"/>
              </w:rPr>
              <w:t xml:space="preserve"> SUS </w:t>
            </w:r>
            <w:r>
              <w:rPr>
                <w:b/>
                <w:color w:val="FFFFFF"/>
                <w:sz w:val="14"/>
                <w:shd w:val="clear" w:color="auto" w:fill="0A243B"/>
              </w:rPr>
              <w:t xml:space="preserve"> SAÚDE SUPLEMENTAR </w:t>
            </w:r>
            <w:r>
              <w:rPr>
                <w:b/>
                <w:color w:val="5A6B7B"/>
                <w:sz w:val="15"/>
              </w:rPr>
              <w:t xml:space="preserve">  ANVISA · RESOLUÇÃO DA DIRETORIA COLEGIADA Nº 1.046/2026</w:t>
            </w:r>
          </w:p>
          <w:p w14:paraId="6EA067AB" w14:textId="77777777" w:rsidR="00122BCF" w:rsidRDefault="0027215F">
            <w:pPr>
              <w:spacing w:after="20"/>
            </w:pPr>
            <w:r>
              <w:rPr>
                <w:b/>
                <w:color w:val="0A243B"/>
              </w:rPr>
              <w:t>Resolução da Diretoria Colegiada ANVISA nº 1.046, de 29 de outubro de 2026 — publicada no Diário Oficial da União de 03/11/2026, edição 206, Seção 1, página 244</w:t>
            </w:r>
          </w:p>
          <w:p w14:paraId="1AB5F7B2" w14:textId="77777777" w:rsidR="00122BCF" w:rsidRDefault="0027215F">
            <w:pPr>
              <w:spacing w:after="0"/>
            </w:pPr>
            <w:r>
              <w:rPr>
                <w:i/>
                <w:color w:val="37475A"/>
                <w:sz w:val="18"/>
              </w:rPr>
              <w:t>Requisitos de controle para Notificações de Receita, Receitas de Controle Especial e receitas sujeitas à retenção emitidas em meio eletrônico.</w:t>
            </w:r>
          </w:p>
        </w:tc>
      </w:tr>
      <w:tr w:rsidR="00122BCF" w14:paraId="4411D80F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6AFF388E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Objeto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5C29A0FC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Altera a Resolução da Diretoria Colegiada nº 1.000, de 11/12/2025, que dispõe sobre os requisitos de controle para Notificações de Receita, Receitas de Controle Especial e receitas sujeitas à retenção emitidas em meio eletrônico. Na nova redação do art. 18, as Receitas de Controle Especial e as receitas sujeitas à retenção poderão ser emitidas eletronicamente sem a numeração do Sistema Nacional de Controle de Receituários (SNCR) até 3 de março de 2027, e os receituários assim emitidos poderão ser aceitos pe</w:t>
            </w:r>
            <w:r>
              <w:rPr>
                <w:sz w:val="19"/>
              </w:rPr>
              <w:t>los estabelecimentos dispensadores durante o respectivo prazo de validade.</w:t>
            </w:r>
          </w:p>
        </w:tc>
      </w:tr>
      <w:tr w:rsidR="00122BCF" w14:paraId="5933CECB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7B9AA298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Repercussão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765C97AD" w14:textId="77777777" w:rsidR="00122BCF" w:rsidRDefault="0027215F">
            <w:pPr>
              <w:spacing w:after="0"/>
              <w:jc w:val="both"/>
            </w:pPr>
            <w:r>
              <w:rPr>
                <w:sz w:val="19"/>
              </w:rPr>
              <w:t>A prescrição eletrônica de medicamentos sujeitos a controle especial integra a documentação apresentada em demandas de fornecimento; a prorrogação mantém válidos, até março de 2027, os receituários emitidos sem a numeração do SNCR.</w:t>
            </w:r>
          </w:p>
        </w:tc>
      </w:tr>
      <w:tr w:rsidR="00122BCF" w14:paraId="1E4BE7FF" w14:textId="77777777">
        <w:trPr>
          <w:jc w:val="center"/>
        </w:trPr>
        <w:tc>
          <w:tcPr>
            <w:tcW w:w="2232" w:type="dxa"/>
            <w:shd w:val="clear" w:color="auto" w:fill="DFF2FA"/>
            <w:tcMar>
              <w:top w:w="50" w:type="dxa"/>
              <w:left w:w="100" w:type="dxa"/>
              <w:bottom w:w="50" w:type="dxa"/>
              <w:right w:w="90" w:type="dxa"/>
            </w:tcMar>
          </w:tcPr>
          <w:p w14:paraId="339120D5" w14:textId="77777777" w:rsidR="00122BCF" w:rsidRDefault="0027215F">
            <w:pPr>
              <w:spacing w:after="0"/>
            </w:pPr>
            <w:r>
              <w:rPr>
                <w:b/>
                <w:color w:val="044E93"/>
                <w:sz w:val="18"/>
              </w:rPr>
              <w:t>Fonte</w:t>
            </w:r>
          </w:p>
        </w:tc>
        <w:tc>
          <w:tcPr>
            <w:tcW w:w="7632" w:type="dxa"/>
            <w:tcMar>
              <w:top w:w="50" w:type="dxa"/>
              <w:left w:w="110" w:type="dxa"/>
              <w:bottom w:w="50" w:type="dxa"/>
              <w:right w:w="100" w:type="dxa"/>
            </w:tcMar>
          </w:tcPr>
          <w:p w14:paraId="61A5521C" w14:textId="77777777" w:rsidR="00122BCF" w:rsidRDefault="00122BCF">
            <w:pPr>
              <w:spacing w:after="0"/>
            </w:pPr>
            <w:hyperlink r:id="rId105" w:history="1">
              <w:r>
                <w:rPr>
                  <w:color w:val="044E93"/>
                  <w:u w:val="single"/>
                </w:rPr>
                <w:t>DOU — Resolução da Diretoria Colegiada ANVISA nº 1.046, de 29 de outubro de 2026</w:t>
              </w:r>
            </w:hyperlink>
          </w:p>
        </w:tc>
      </w:tr>
    </w:tbl>
    <w:p w14:paraId="39A011FD" w14:textId="77777777" w:rsidR="00122BCF" w:rsidRDefault="00122BCF">
      <w:pPr>
        <w:spacing w:after="80"/>
      </w:pPr>
    </w:p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9936"/>
      </w:tblGrid>
      <w:tr w:rsidR="00122BCF" w14:paraId="3620839C" w14:textId="77777777">
        <w:trPr>
          <w:cantSplit/>
          <w:jc w:val="center"/>
        </w:trPr>
        <w:tc>
          <w:tcPr>
            <w:tcW w:w="9936" w:type="dxa"/>
            <w:shd w:val="clear" w:color="auto" w:fill="0A243B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CDEF252" w14:textId="77777777" w:rsidR="00122BCF" w:rsidRDefault="0027215F">
            <w:pPr>
              <w:keepNext/>
              <w:spacing w:after="60"/>
            </w:pPr>
            <w:r>
              <w:rPr>
                <w:b/>
                <w:color w:val="FFFFFF"/>
                <w:sz w:val="22"/>
              </w:rPr>
              <w:t>Contribua com o Boletim</w:t>
            </w:r>
          </w:p>
          <w:p w14:paraId="200324B5" w14:textId="77777777" w:rsidR="00122BCF" w:rsidRDefault="0027215F">
            <w:pPr>
              <w:keepNext/>
              <w:spacing w:after="80"/>
              <w:jc w:val="both"/>
            </w:pPr>
            <w:r>
              <w:rPr>
                <w:color w:val="FFFFFF"/>
                <w:sz w:val="19"/>
              </w:rPr>
              <w:t>Envie julgados, atos normativos e boas práticas em Direito da Saúde, com a fonte oficial. As contribuições recebidas até o dia 25 de cada mês serão avaliadas pela Comissão e poderão integrar a edição seguinte.</w:t>
            </w:r>
          </w:p>
          <w:p w14:paraId="33A40354" w14:textId="77777777" w:rsidR="00122BCF" w:rsidRDefault="0027215F">
            <w:pPr>
              <w:spacing w:after="0"/>
            </w:pPr>
            <w:r>
              <w:rPr>
                <w:b/>
                <w:color w:val="FFFFFF"/>
                <w:sz w:val="19"/>
              </w:rPr>
              <w:t xml:space="preserve">Enviar contribuição: </w:t>
            </w:r>
            <w:hyperlink r:id="rId106" w:tooltip="Enviar contribuição por e-mail">
              <w:r w:rsidR="00122BCF">
                <w:rPr>
                  <w:b/>
                  <w:color w:val="00A4D6"/>
                  <w:sz w:val="19"/>
                  <w:u w:val="single"/>
                </w:rPr>
                <w:t>radarfonajus@trf3.jus.br</w:t>
              </w:r>
            </w:hyperlink>
          </w:p>
        </w:tc>
      </w:tr>
    </w:tbl>
    <w:p w14:paraId="1865C633" w14:textId="77777777" w:rsidR="00122BCF" w:rsidRDefault="00122BCF">
      <w:pPr>
        <w:spacing w:after="120"/>
      </w:pPr>
    </w:p>
    <w:p w14:paraId="137153CB" w14:textId="77777777" w:rsidR="00122BCF" w:rsidRDefault="0027215F">
      <w:pPr>
        <w:jc w:val="center"/>
      </w:pPr>
      <w:r>
        <w:rPr>
          <w:i/>
          <w:color w:val="5A6B7B"/>
          <w:sz w:val="18"/>
        </w:rPr>
        <w:t>— Fim do Radar Fonajus · Boletim Mensal de Direito da Saúde · Edição nº 1 —</w:t>
      </w:r>
      <w:r>
        <w:rPr>
          <w:i/>
          <w:color w:val="5A6B7B"/>
          <w:sz w:val="18"/>
        </w:rPr>
        <w:br/>
        <w:t>Justiça Federal da 3ª Região · Fonajus · Conselho Nacional de Justiça · Período de referência: Outubro 2026</w:t>
      </w:r>
    </w:p>
    <w:tbl>
      <w:tblPr>
        <w:tblW w:w="0" w:type="auto"/>
        <w:jc w:val="center"/>
        <w:tblBorders>
          <w:top w:val="single" w:sz="8" w:space="0" w:color="044E93"/>
          <w:left w:val="single" w:sz="18" w:space="0" w:color="044E93"/>
          <w:bottom w:val="single" w:sz="8" w:space="0" w:color="044E93"/>
          <w:right w:val="single" w:sz="8" w:space="0" w:color="044E93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03"/>
      </w:tblGrid>
      <w:tr w:rsidR="00122BCF" w14:paraId="2F368848" w14:textId="77777777">
        <w:trPr>
          <w:jc w:val="center"/>
        </w:trPr>
        <w:tc>
          <w:tcPr>
            <w:tcW w:w="9936" w:type="dxa"/>
            <w:shd w:val="clear" w:color="auto" w:fill="EAF6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CE5C8B" w14:textId="77777777" w:rsidR="00122BCF" w:rsidRDefault="0027215F">
            <w:pPr>
              <w:spacing w:after="60"/>
            </w:pPr>
            <w:r>
              <w:rPr>
                <w:b/>
                <w:color w:val="044E93"/>
                <w:sz w:val="17"/>
              </w:rPr>
              <w:t>NOTA DE TRANSPARÊNCIA E ISENÇÃO</w:t>
            </w:r>
          </w:p>
          <w:p w14:paraId="53C10701" w14:textId="77777777" w:rsidR="00122BCF" w:rsidRDefault="0027215F">
            <w:pPr>
              <w:spacing w:after="0"/>
              <w:jc w:val="both"/>
            </w:pPr>
            <w:r>
              <w:rPr>
                <w:color w:val="0A243B"/>
                <w:sz w:val="19"/>
              </w:rPr>
              <w:t xml:space="preserve">Este boletim foi processado com suporte de Inteligência Artificial para análise de dados e estruturação normativa, submetido à revisão humana integral e validação técnica da Comissão instituída pela Portaria CGADS-3R nº 1/2026. Apresenta, de forma objetiva e concisa, resumos de teses, precedentes e atos normativos de interesse da Justiça Federal e da Justiça Estadual. Possui caráter estritamente informativo e não vinculante, não constituindo repositório oficial de jurisprudência ou de atos administrativos; </w:t>
            </w:r>
            <w:r>
              <w:rPr>
                <w:color w:val="0A243B"/>
                <w:sz w:val="19"/>
              </w:rPr>
              <w:t>a citação final remete sempre à fonte primária oficial (Planalto, DOU, portais do STF, do STJ, da CONITEC, da ANS e da ANVISA), conforme o item 6.4 do Plano de Trabalho.</w:t>
            </w:r>
          </w:p>
        </w:tc>
      </w:tr>
    </w:tbl>
    <w:p w14:paraId="5A17009B" w14:textId="77777777" w:rsidR="00122BCF" w:rsidRDefault="0027215F">
      <w:pPr>
        <w:pBdr>
          <w:top w:val="single" w:sz="8" w:space="6" w:color="00A4D6"/>
        </w:pBdr>
        <w:spacing w:before="240" w:after="0"/>
      </w:pPr>
      <w:r>
        <w:rPr>
          <w:b/>
          <w:color w:val="0A243B"/>
          <w:sz w:val="16"/>
        </w:rPr>
        <w:t xml:space="preserve">Realização: </w:t>
      </w:r>
      <w:r>
        <w:rPr>
          <w:color w:val="5A6B7B"/>
          <w:sz w:val="16"/>
        </w:rPr>
        <w:t>Justiça Federal da 3ª Região · Fonajus · Conselho Nacional de Justiça</w:t>
      </w:r>
    </w:p>
    <w:p w14:paraId="3F7F1AF7" w14:textId="77777777" w:rsidR="00122BCF" w:rsidRDefault="0027215F">
      <w:pPr>
        <w:spacing w:before="40" w:after="0"/>
      </w:pPr>
      <w:r>
        <w:rPr>
          <w:b/>
          <w:color w:val="0A243B"/>
          <w:sz w:val="16"/>
        </w:rPr>
        <w:t>Elaboração: Comissão de Gestão das Ações de Direito da Saúde · TRF3 · Portaria CGADS-3R nº 1/2026 · Acordo de Cooperação Técnica nº 67/2026</w:t>
      </w:r>
    </w:p>
    <w:p w14:paraId="0A3A5BB6" w14:textId="77777777" w:rsidR="00122BCF" w:rsidRDefault="0027215F">
      <w:pPr>
        <w:spacing w:before="40" w:after="0"/>
      </w:pPr>
      <w:r>
        <w:rPr>
          <w:b/>
          <w:color w:val="0A243B"/>
          <w:sz w:val="16"/>
        </w:rPr>
        <w:t xml:space="preserve">Contribuições: </w:t>
      </w:r>
      <w:hyperlink r:id="rId107">
        <w:r w:rsidR="00122BCF">
          <w:rPr>
            <w:b/>
            <w:color w:val="0A243B"/>
            <w:sz w:val="16"/>
            <w:u w:val="single"/>
          </w:rPr>
          <w:t>radarfonajus@trf3.jus.br</w:t>
        </w:r>
      </w:hyperlink>
    </w:p>
    <w:sectPr w:rsidR="00122BCF" w:rsidSect="00034616">
      <w:footerReference w:type="default" r:id="rId108"/>
      <w:pgSz w:w="11906" w:h="16838"/>
      <w:pgMar w:top="1152" w:right="985" w:bottom="1152" w:left="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2BA64" w14:textId="77777777" w:rsidR="0027215F" w:rsidRDefault="0027215F">
      <w:pPr>
        <w:spacing w:after="0" w:line="240" w:lineRule="auto"/>
      </w:pPr>
      <w:r>
        <w:separator/>
      </w:r>
    </w:p>
  </w:endnote>
  <w:endnote w:type="continuationSeparator" w:id="0">
    <w:p w14:paraId="30999D92" w14:textId="77777777" w:rsidR="0027215F" w:rsidRDefault="00272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Arial"/>
    <w:charset w:val="00"/>
    <w:family w:val="auto"/>
    <w:pitch w:val="variable"/>
    <w:sig w:usb0="2000020F" w:usb1="00000003" w:usb2="00000000" w:usb3="00000000" w:csb0="00000197" w:csb1="00000000"/>
    <w:embedRegular r:id="rId1" w:fontKey="{0F122FA1-7563-4DF7-8262-2DC34DE665E1}"/>
    <w:embedBold r:id="rId2" w:fontKey="{D4ECC80C-C4B7-4052-BFC2-323D05C580BB}"/>
    <w:embedItalic r:id="rId3" w:fontKey="{84B69CEA-B446-4F10-B4DE-BC8786094CDB}"/>
    <w:embedBoldItalic r:id="rId4" w:fontKey="{74A1D3B5-AD79-4891-AEFD-0530353746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00403" w14:textId="3E824492" w:rsidR="00122BCF" w:rsidRDefault="0027215F">
    <w:pPr>
      <w:pBdr>
        <w:top w:val="single" w:sz="4" w:space="6" w:color="00A4D6"/>
      </w:pBdr>
      <w:spacing w:after="0"/>
    </w:pPr>
    <w:r>
      <w:rPr>
        <w:b/>
        <w:color w:val="0A243B"/>
        <w:sz w:val="16"/>
      </w:rPr>
      <w:t xml:space="preserve">Radar </w:t>
    </w:r>
    <w:proofErr w:type="spellStart"/>
    <w:r>
      <w:rPr>
        <w:b/>
        <w:color w:val="0A243B"/>
        <w:sz w:val="16"/>
      </w:rPr>
      <w:t>Fonajus</w:t>
    </w:r>
    <w:proofErr w:type="spellEnd"/>
    <w:r>
      <w:rPr>
        <w:color w:val="5A6B7B"/>
        <w:sz w:val="16"/>
      </w:rPr>
      <w:t xml:space="preserve"> · Edição nº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6B584" w14:textId="77777777" w:rsidR="0027215F" w:rsidRDefault="0027215F">
      <w:pPr>
        <w:spacing w:after="0" w:line="240" w:lineRule="auto"/>
      </w:pPr>
      <w:r>
        <w:separator/>
      </w:r>
    </w:p>
  </w:footnote>
  <w:footnote w:type="continuationSeparator" w:id="0">
    <w:p w14:paraId="109EF48F" w14:textId="77777777" w:rsidR="0027215F" w:rsidRDefault="00272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5565752">
    <w:abstractNumId w:val="8"/>
  </w:num>
  <w:num w:numId="2" w16cid:durableId="650912874">
    <w:abstractNumId w:val="6"/>
  </w:num>
  <w:num w:numId="3" w16cid:durableId="1919054440">
    <w:abstractNumId w:val="5"/>
  </w:num>
  <w:num w:numId="4" w16cid:durableId="1275868695">
    <w:abstractNumId w:val="4"/>
  </w:num>
  <w:num w:numId="5" w16cid:durableId="117070462">
    <w:abstractNumId w:val="7"/>
  </w:num>
  <w:num w:numId="6" w16cid:durableId="2024160207">
    <w:abstractNumId w:val="3"/>
  </w:num>
  <w:num w:numId="7" w16cid:durableId="1300382813">
    <w:abstractNumId w:val="2"/>
  </w:num>
  <w:num w:numId="8" w16cid:durableId="440999224">
    <w:abstractNumId w:val="1"/>
  </w:num>
  <w:num w:numId="9" w16cid:durableId="1676180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BCF"/>
    <w:rsid w:val="0015074B"/>
    <w:rsid w:val="0027215F"/>
    <w:rsid w:val="0029639D"/>
    <w:rsid w:val="00326F90"/>
    <w:rsid w:val="00437FA2"/>
    <w:rsid w:val="00462DE1"/>
    <w:rsid w:val="00505385"/>
    <w:rsid w:val="00764BA7"/>
    <w:rsid w:val="00AA1D8D"/>
    <w:rsid w:val="00B47730"/>
    <w:rsid w:val="00BC7239"/>
    <w:rsid w:val="00CB0664"/>
    <w:rsid w:val="00DF41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726BDA03-4FFA-4410-B219-11008761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Arial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="Montserrat" w:eastAsia="Montserrat" w:hAnsi="Montserrat" w:cs="Arial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="Montserrat" w:eastAsia="Montserrat" w:hAnsi="Montserrat" w:cs="Arial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="Montserrat" w:eastAsia="Montserrat" w:hAnsi="Montserrat" w:cs="Arial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="Montserrat" w:eastAsia="Montserrat" w:hAnsi="Montserrat" w:cs="Arial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="Montserrat" w:eastAsia="Montserrat" w:hAnsi="Montserrat" w:cs="Arial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="Montserrat" w:eastAsia="Montserrat" w:hAnsi="Montserrat" w:cs="Arial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="Montserrat" w:eastAsia="Montserrat" w:hAnsi="Montserrat" w:cs="Arial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="Montserrat" w:eastAsia="Montserrat" w:hAnsi="Montserrat" w:cs="Arial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="Montserrat" w:eastAsia="Montserrat" w:hAnsi="Montserrat" w:cs="Arial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="Montserrat" w:eastAsia="Montserrat" w:hAnsi="Montserrat" w:cs="Arial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="Montserrat" w:eastAsia="Montserrat" w:hAnsi="Montserrat" w:cs="Arial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ontserrat" w:eastAsia="Montserrat" w:hAnsi="Montserrat" w:cs="Arial"/>
        <w:b/>
        <w:bCs/>
      </w:rPr>
    </w:tblStylePr>
    <w:tblStylePr w:type="lastCol">
      <w:rPr>
        <w:rFonts w:ascii="Montserrat" w:eastAsia="Montserrat" w:hAnsi="Montserrat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ontserrat" w:eastAsia="Montserrat" w:hAnsi="Montserrat" w:cs="Arial"/>
        <w:b/>
        <w:bCs/>
      </w:rPr>
    </w:tblStylePr>
    <w:tblStylePr w:type="lastCol">
      <w:rPr>
        <w:rFonts w:ascii="Montserrat" w:eastAsia="Montserrat" w:hAnsi="Montserrat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ontserrat" w:eastAsia="Montserrat" w:hAnsi="Montserrat" w:cs="Arial"/>
        <w:b/>
        <w:bCs/>
      </w:rPr>
    </w:tblStylePr>
    <w:tblStylePr w:type="lastCol">
      <w:rPr>
        <w:rFonts w:ascii="Montserrat" w:eastAsia="Montserrat" w:hAnsi="Montserrat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ontserrat" w:eastAsia="Montserrat" w:hAnsi="Montserrat" w:cs="Arial"/>
        <w:b/>
        <w:bCs/>
      </w:rPr>
    </w:tblStylePr>
    <w:tblStylePr w:type="lastCol">
      <w:rPr>
        <w:rFonts w:ascii="Montserrat" w:eastAsia="Montserrat" w:hAnsi="Montserrat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ontserrat" w:eastAsia="Montserrat" w:hAnsi="Montserrat" w:cs="Arial"/>
        <w:b/>
        <w:bCs/>
      </w:rPr>
    </w:tblStylePr>
    <w:tblStylePr w:type="lastCol">
      <w:rPr>
        <w:rFonts w:ascii="Montserrat" w:eastAsia="Montserrat" w:hAnsi="Montserrat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ontserrat" w:eastAsia="Montserrat" w:hAnsi="Montserrat" w:cs="Arial"/>
        <w:b/>
        <w:bCs/>
      </w:rPr>
    </w:tblStylePr>
    <w:tblStylePr w:type="lastCol">
      <w:rPr>
        <w:rFonts w:ascii="Montserrat" w:eastAsia="Montserrat" w:hAnsi="Montserrat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ontserrat" w:eastAsia="Montserrat" w:hAnsi="Montserrat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ontserrat" w:eastAsia="Montserrat" w:hAnsi="Montserrat" w:cs="Arial"/>
        <w:b/>
        <w:bCs/>
      </w:rPr>
    </w:tblStylePr>
    <w:tblStylePr w:type="lastCol">
      <w:rPr>
        <w:rFonts w:ascii="Montserrat" w:eastAsia="Montserrat" w:hAnsi="Montserrat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Montserrat" w:eastAsia="Montserrat" w:hAnsi="Montserrat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Montserrat" w:eastAsia="Montserrat" w:hAnsi="Montserrat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Montserrat" w:eastAsia="Montserrat" w:hAnsi="Montserrat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Montserrat" w:eastAsia="Montserrat" w:hAnsi="Montserrat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Montserrat" w:eastAsia="Montserrat" w:hAnsi="Montserrat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Montserrat" w:eastAsia="Montserrat" w:hAnsi="Montserrat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Montserrat" w:eastAsia="Montserrat" w:hAnsi="Montserrat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.gov.br/web/dou/-/portaria-sctie/ms-n-64-de-27-de-outubro-de-2026-741113197" TargetMode="External"/><Relationship Id="rId21" Type="http://schemas.openxmlformats.org/officeDocument/2006/relationships/hyperlink" Target="https://www.gov.br/conitec/pt-br/midias/relatorios/2026/relatorio-de-recomendacao-no-1134-ravulizumabe-crovalimabe-pegcetacoplana-e-iptacopana.pdf/@@display-file/file" TargetMode="External"/><Relationship Id="rId42" Type="http://schemas.openxmlformats.org/officeDocument/2006/relationships/hyperlink" Target="https://www.in.gov.br/web/dou/-/portaria-conjunta-saes/sctie-n-100-de-20-de-outubro-de-2026-740661441" TargetMode="External"/><Relationship Id="rId47" Type="http://schemas.openxmlformats.org/officeDocument/2006/relationships/hyperlink" Target="https://www.in.gov.br/web/dou/-/portaria-conjunta-saes/sctie-n-105-de-20-de-outubro-de-2026-740663243" TargetMode="External"/><Relationship Id="rId63" Type="http://schemas.openxmlformats.org/officeDocument/2006/relationships/hyperlink" Target="https://www.in.gov.br/web/dou/-/portaria-gm/ms-n-12.314-de-28-de-outubro-de-2026-741176374" TargetMode="External"/><Relationship Id="rId68" Type="http://schemas.openxmlformats.org/officeDocument/2006/relationships/hyperlink" Target="https://www.in.gov.br/web/dou/-/consulta-publica-sctie/ms-n-105-de-20-de-outubro-de-2026-739402890" TargetMode="External"/><Relationship Id="rId84" Type="http://schemas.openxmlformats.org/officeDocument/2006/relationships/hyperlink" Target="https://web.trf3.jus.br/noticias/Noticiar/ExibirNoticia/447547-trf3-firma-acordo-de-cooperacao-tecnica-com-o-ac-camargo" TargetMode="External"/><Relationship Id="rId89" Type="http://schemas.openxmlformats.org/officeDocument/2006/relationships/hyperlink" Target="https://sistemas.cfm.org.br/normas/arquivos/resolucoes/BR/2026/2472_2026.pdf" TargetMode="External"/><Relationship Id="rId16" Type="http://schemas.openxmlformats.org/officeDocument/2006/relationships/hyperlink" Target="mailto:radarfonajus@trf3.jus.br?subject=Contribui%C3%A7%C3%A3o%20%E2%80%93%20Boletim%20Mensal%20de%20Direito%20da%20Sa%C3%BAde" TargetMode="External"/><Relationship Id="rId107" Type="http://schemas.openxmlformats.org/officeDocument/2006/relationships/hyperlink" Target="mailto:radarfonajus@trf3.jus.br?subject=Contribui%C3%A7%C3%A3o%20%E2%80%93%20Boletim%20Mensal%20de%20Direito%20da%20Sa%C3%BAde" TargetMode="External"/><Relationship Id="rId11" Type="http://schemas.openxmlformats.org/officeDocument/2006/relationships/hyperlink" Target="https://portal.stf.jus.br/jurisprudenciaRepercussao/verPronunciamento.asp?pronunciamento=12685716" TargetMode="External"/><Relationship Id="rId32" Type="http://schemas.openxmlformats.org/officeDocument/2006/relationships/hyperlink" Target="https://www.in.gov.br/web/dou/-/portaria-conjunta-saes/sctie-n-90-de-20-de-outubro-de-2026-740648365" TargetMode="External"/><Relationship Id="rId37" Type="http://schemas.openxmlformats.org/officeDocument/2006/relationships/hyperlink" Target="https://www.in.gov.br/web/dou/-/portaria-conjunta-saes/sctie-n-95-de-20-de-outubro-de-2026-740653504" TargetMode="External"/><Relationship Id="rId53" Type="http://schemas.openxmlformats.org/officeDocument/2006/relationships/hyperlink" Target="https://www.in.gov.br/web/dou/-/portaria-gm/ms-n-12.304-de-28-de-outubro-de-2026-741169904" TargetMode="External"/><Relationship Id="rId58" Type="http://schemas.openxmlformats.org/officeDocument/2006/relationships/hyperlink" Target="https://www.in.gov.br/web/dou/-/portaria-gm/ms-n-12.309-de-28-de-outubro-de-2026-741103563" TargetMode="External"/><Relationship Id="rId74" Type="http://schemas.openxmlformats.org/officeDocument/2006/relationships/hyperlink" Target="https://www.gov.br/ans/pt-br/assuntos/noticias/periodo-eleitoral/tratamento-para-calculo-biliar-sera-coberto-pelos-planos-de-saude" TargetMode="External"/><Relationship Id="rId79" Type="http://schemas.openxmlformats.org/officeDocument/2006/relationships/hyperlink" Target="https://www.gov.br/ans/pt-br/assuntos/noticias/periodo-eleitoral/consulta-publica-179-ans-recebe-contribuicoes-sobre-o-monitoramento-da-garantia-de-atendimento" TargetMode="External"/><Relationship Id="rId102" Type="http://schemas.openxmlformats.org/officeDocument/2006/relationships/hyperlink" Target="https://www.in.gov.br/web/dou/-/resolucao-re-n-4.256-de-28-de-outubro-de-2026-741186113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in.gov.br/web/dou/-/resolucao-re-n-3.970-de-8-de-outubro-de-2026-737760269" TargetMode="External"/><Relationship Id="rId95" Type="http://schemas.openxmlformats.org/officeDocument/2006/relationships/hyperlink" Target="https://www.in.gov.br/web/dou/-/resolucao-re-n-4.244-de-28-de-outubro-de-2026-741160217" TargetMode="External"/><Relationship Id="rId22" Type="http://schemas.openxmlformats.org/officeDocument/2006/relationships/hyperlink" Target="https://www.in.gov.br/web/dou/-/portaria-sctie/ms-n-64-de-27-de-outubro-de-2026-741113197" TargetMode="External"/><Relationship Id="rId27" Type="http://schemas.openxmlformats.org/officeDocument/2006/relationships/hyperlink" Target="https://www.gov.br/conitec/pt-br/midias/relatorios/2026/relatorio-de-recomendacao-no-1134-ravulizumabe-crovalimabe-pegcetacoplana-e-iptacopana.pdf/@@display-file/file" TargetMode="External"/><Relationship Id="rId43" Type="http://schemas.openxmlformats.org/officeDocument/2006/relationships/hyperlink" Target="https://www.in.gov.br/web/dou/-/portaria-conjunta-saes/sctie-n-101-de-20-de-outubro-de-2026-740652852" TargetMode="External"/><Relationship Id="rId48" Type="http://schemas.openxmlformats.org/officeDocument/2006/relationships/hyperlink" Target="https://www.in.gov.br/web/dou/-/portaria-conjunta-saes/sctie-n-106-de-20-de-outubro-de-2026-740661360" TargetMode="External"/><Relationship Id="rId64" Type="http://schemas.openxmlformats.org/officeDocument/2006/relationships/hyperlink" Target="https://www.in.gov.br/web/dou/-/portaria-gm/ms-n-12.315-de-28-de-outubro-de-2026-741176397" TargetMode="External"/><Relationship Id="rId69" Type="http://schemas.openxmlformats.org/officeDocument/2006/relationships/hyperlink" Target="https://www.in.gov.br/web/dou/-/consulta-publica-sctie/ms-n-106-de-20-de-outubro-de-2026-739400833" TargetMode="External"/><Relationship Id="rId80" Type="http://schemas.openxmlformats.org/officeDocument/2006/relationships/hyperlink" Target="https://www.cnj.jus.br/justica-realiza-mutirao-para-conciliacao-de-processos-em-saude-suplementar-em-novembro/" TargetMode="External"/><Relationship Id="rId85" Type="http://schemas.openxmlformats.org/officeDocument/2006/relationships/hyperlink" Target="https://web.trf3.jus.br/noticias-sjms/Noticiar/ExibirNoticia/1430-trf3-e-ufms-celebram-parceria-para-reforcar-apoio" TargetMode="External"/><Relationship Id="rId12" Type="http://schemas.openxmlformats.org/officeDocument/2006/relationships/hyperlink" Target="https://processo.stj.jus.br/repetitivos/temas_repetitivos/pesquisa.jsp?novaConsulta=true&amp;tipo_pesquisa=E&amp;cod_tema_inicial=1479&amp;cod_tema_final=1479" TargetMode="External"/><Relationship Id="rId17" Type="http://schemas.openxmlformats.org/officeDocument/2006/relationships/hyperlink" Target="https://www.in.gov.br/web/dou/-/portaria-gm/ms-n-12.301-de-27-de-outubro-de-2026-740877901" TargetMode="External"/><Relationship Id="rId33" Type="http://schemas.openxmlformats.org/officeDocument/2006/relationships/hyperlink" Target="https://www.in.gov.br/web/dou/-/portaria-conjunta-saes/sctie-n-91-de-20-de-outubro-de-2026-740644210" TargetMode="External"/><Relationship Id="rId38" Type="http://schemas.openxmlformats.org/officeDocument/2006/relationships/hyperlink" Target="https://www.in.gov.br/web/dou/-/portaria-conjunta-saes/sctie-n-96-de-20-de-outubro-de-2026-740649847" TargetMode="External"/><Relationship Id="rId59" Type="http://schemas.openxmlformats.org/officeDocument/2006/relationships/hyperlink" Target="https://www.in.gov.br/web/dou/-/portaria-gm/ms-n-12.310-de-28-de-outubro-de-2026-741175663" TargetMode="External"/><Relationship Id="rId103" Type="http://schemas.openxmlformats.org/officeDocument/2006/relationships/hyperlink" Target="https://www.in.gov.br/web/dou/-/resolucao-re-n-4.262-de-28-de-outubro-de-2026-741209888" TargetMode="External"/><Relationship Id="rId108" Type="http://schemas.openxmlformats.org/officeDocument/2006/relationships/footer" Target="footer1.xml"/><Relationship Id="rId54" Type="http://schemas.openxmlformats.org/officeDocument/2006/relationships/hyperlink" Target="https://www.in.gov.br/web/dou/-/portaria-gm/ms-n-12.305-de-28-de-outubro-de-2026-741160691" TargetMode="External"/><Relationship Id="rId70" Type="http://schemas.openxmlformats.org/officeDocument/2006/relationships/hyperlink" Target="https://www.in.gov.br/web/dou/-/consulta-publica-sctie/ms-n-107-de-27-de-outubro-de-2026-740658697" TargetMode="External"/><Relationship Id="rId75" Type="http://schemas.openxmlformats.org/officeDocument/2006/relationships/hyperlink" Target="https://www.in.gov.br/web/dou/-/resolucao-normativa-ans-n-682-de-15-de-outubro-de-2026-738862822" TargetMode="External"/><Relationship Id="rId91" Type="http://schemas.openxmlformats.org/officeDocument/2006/relationships/hyperlink" Target="https://www.in.gov.br/web/dou/-/resolucao-re-n-4.078-de-16-de-outubro-de-2026-738832016" TargetMode="External"/><Relationship Id="rId96" Type="http://schemas.openxmlformats.org/officeDocument/2006/relationships/hyperlink" Target="https://www.in.gov.br/web/dou/-/resolucao-re-n-3.947-de-2-de-outubro-de-2026-73656445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portal.trf6.jus.br/justica-federal-concede-pensao-especial-a-homem-diagnosticado-com-hanseniase-em-1980/" TargetMode="External"/><Relationship Id="rId23" Type="http://schemas.openxmlformats.org/officeDocument/2006/relationships/hyperlink" Target="https://www.gov.br/conitec/pt-br/midias/relatorios/2026/relatorio-de-recomendacao-no-1134-ravulizumabe-crovalimabe-pegcetacoplana-e-iptacopana.pdf/@@display-file/file" TargetMode="External"/><Relationship Id="rId28" Type="http://schemas.openxmlformats.org/officeDocument/2006/relationships/hyperlink" Target="https://www.in.gov.br/web/dou/-/portaria-sctie/ms-n-65-de-20-de-outubro-de-2026-739411149" TargetMode="External"/><Relationship Id="rId36" Type="http://schemas.openxmlformats.org/officeDocument/2006/relationships/hyperlink" Target="https://www.in.gov.br/web/dou/-/portaria-conjunta-saes/-sctie-n-94-de-20-de-outubro-de-2026-740654843" TargetMode="External"/><Relationship Id="rId49" Type="http://schemas.openxmlformats.org/officeDocument/2006/relationships/hyperlink" Target="https://www.in.gov.br/web/dou/-/portaria-conjunta-saes/sctie-n-87-de-15-de-outubro-de-2026-739127375" TargetMode="External"/><Relationship Id="rId57" Type="http://schemas.openxmlformats.org/officeDocument/2006/relationships/hyperlink" Target="https://www.in.gov.br/web/dou/-/portaria-gm/ms-n-12.308-de-28-de-outubro-de-2026-741175821" TargetMode="External"/><Relationship Id="rId106" Type="http://schemas.openxmlformats.org/officeDocument/2006/relationships/hyperlink" Target="mailto:radarfonajus@trf3.jus.br?subject=Contribui%C3%A7%C3%A3o%20%E2%80%93%20Boletim%20Mensal%20de%20Direito%20da%20Sa%C3%BAde" TargetMode="External"/><Relationship Id="rId10" Type="http://schemas.openxmlformats.org/officeDocument/2006/relationships/hyperlink" Target="https://portal.stf.jus.br/processos/detalhe.asp?incidente=7631235" TargetMode="External"/><Relationship Id="rId31" Type="http://schemas.openxmlformats.org/officeDocument/2006/relationships/hyperlink" Target="https://www.in.gov.br/web/dou/-/portaria-conjunta-saes/sctie-n-89-de-20-de-outubro-de-2026-740654863" TargetMode="External"/><Relationship Id="rId44" Type="http://schemas.openxmlformats.org/officeDocument/2006/relationships/hyperlink" Target="https://www.in.gov.br/web/dou/-/portaria-conjunta-saes/sctie-n-102-de-20-de-outubro-de-2026-740659201" TargetMode="External"/><Relationship Id="rId52" Type="http://schemas.openxmlformats.org/officeDocument/2006/relationships/hyperlink" Target="https://www.in.gov.br/web/dou/-/portaria-gm/ms-n-12.303-de-28-de-outubro-de-2026-741166748" TargetMode="External"/><Relationship Id="rId60" Type="http://schemas.openxmlformats.org/officeDocument/2006/relationships/hyperlink" Target="https://www.in.gov.br/web/dou/-/portaria-gm/ms-n-12.311-de-28-de-outubro-de-2026-741113517" TargetMode="External"/><Relationship Id="rId65" Type="http://schemas.openxmlformats.org/officeDocument/2006/relationships/hyperlink" Target="https://www.in.gov.br/web/dou/-/portaria-gm/ms-n-12.318-de-28-de-outubro-de-2026-741166669" TargetMode="External"/><Relationship Id="rId73" Type="http://schemas.openxmlformats.org/officeDocument/2006/relationships/hyperlink" Target="https://www.in.gov.br/web/dou/-/resolucao-normativa-ans-n-681-de-2-de-outubro-de-2026-736576547" TargetMode="External"/><Relationship Id="rId78" Type="http://schemas.openxmlformats.org/officeDocument/2006/relationships/hyperlink" Target="https://www.gov.br/ans/pt-br/assuntos/noticias/periodo-eleitoral/ans-promove-audiencia-publica-70" TargetMode="External"/><Relationship Id="rId81" Type="http://schemas.openxmlformats.org/officeDocument/2006/relationships/hyperlink" Target="https://www.cnj.jus.br/acao-itinerante-do-forum-nacional-do-judiciario-para-a-saude-chega-ao-ceara/" TargetMode="External"/><Relationship Id="rId86" Type="http://schemas.openxmlformats.org/officeDocument/2006/relationships/hyperlink" Target="mailto:radarfonajus@trf3.jus.br?subject=Contribui%C3%A7%C3%A3o%20%E2%80%93%20Boletim%20Mensal%20de%20Direito%20da%20Sa%C3%BAde" TargetMode="External"/><Relationship Id="rId94" Type="http://schemas.openxmlformats.org/officeDocument/2006/relationships/hyperlink" Target="https://www.in.gov.br/web/dou/-/resolucao-re-n-4.190-de-22-de-outubro-de-2026-740367199" TargetMode="External"/><Relationship Id="rId99" Type="http://schemas.openxmlformats.org/officeDocument/2006/relationships/hyperlink" Target="https://www.in.gov.br/web/dou/-/resolucao-re-n-4.150-de-21-de-outubro-de-2026-739691176" TargetMode="External"/><Relationship Id="rId101" Type="http://schemas.openxmlformats.org/officeDocument/2006/relationships/hyperlink" Target="https://www.gov.br/anvisa/pt-br/assuntos/noticias-anvisa/2026/nota-de-esclarecimen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stf.jus.br/jurisprudenciaRepercussao/tema.asp?num=1491" TargetMode="External"/><Relationship Id="rId13" Type="http://schemas.openxmlformats.org/officeDocument/2006/relationships/hyperlink" Target="https://processo.stj.jus.br/jurisprudencia/externo/informativo/?acao=pesquisarumaedicao&amp;livre=0905.cod." TargetMode="External"/><Relationship Id="rId18" Type="http://schemas.openxmlformats.org/officeDocument/2006/relationships/hyperlink" Target="https://www.gov.br/saude/pt-br/assuntos/noticias/2026/outubro/ministerio-da-saude-inicia-oferta-no-sus-de-nove-medicamentos-oncologicos-de-alta-tecnologia-em-todas-as-regioes-do-pais" TargetMode="External"/><Relationship Id="rId39" Type="http://schemas.openxmlformats.org/officeDocument/2006/relationships/hyperlink" Target="https://www.in.gov.br/web/dou/-/portaria-conjunta-saes/sctie-n-97-de-20-de-outubro-de-2026-740642423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www.in.gov.br/web/dou/-/portaria-conjunta-saes/sctie-n-92-de-20-de-outubro-de-2026-740648772" TargetMode="External"/><Relationship Id="rId50" Type="http://schemas.openxmlformats.org/officeDocument/2006/relationships/hyperlink" Target="https://www.in.gov.br/web/dou/-/portaria-conjunta-saes/sctie-n-76-de-1-de-setembro-de-2026-738314939" TargetMode="External"/><Relationship Id="rId55" Type="http://schemas.openxmlformats.org/officeDocument/2006/relationships/hyperlink" Target="https://www.in.gov.br/web/dou/-/portaria-gm/ms-n-12.306-de-28-de-outubro-de-2026-741116295" TargetMode="External"/><Relationship Id="rId76" Type="http://schemas.openxmlformats.org/officeDocument/2006/relationships/hyperlink" Target="https://www.gov.br/ans/pt-br/assuntos/noticias/periodo-eleitoral/deliberacoes-da-644a-reuniao-da-diretoria-colegiada" TargetMode="External"/><Relationship Id="rId97" Type="http://schemas.openxmlformats.org/officeDocument/2006/relationships/hyperlink" Target="https://www.gov.br/anvisa/pt-br/assuntos/noticias-anvisa/2026/anvisa-proibe-venda-de-insulina-e-tirzepatida-irregulares-1" TargetMode="External"/><Relationship Id="rId104" Type="http://schemas.openxmlformats.org/officeDocument/2006/relationships/hyperlink" Target="https://www.gov.br/anvisa/pt-br/assuntos/noticias-anvisa/2026/anvisa-suspende-equipamento-para-radioterapia-superficial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gov.br/conitec/pt-br/midias/reuniao_conitec/2026/pauta-156a-pos-reuniao_medicamentos_site.pdf/@@display-file/file" TargetMode="External"/><Relationship Id="rId92" Type="http://schemas.openxmlformats.org/officeDocument/2006/relationships/hyperlink" Target="https://www.in.gov.br/web/dou/-/resolucao-re-n-4.078-de-16-de-outubro-de-2026-73883201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gov.br/conitec/pt-br/midias/relatorios/2026/relatorio-de-recomendacao-no-1-142-distratores-osseos-craniossinostose.pdf/@@display-file/file" TargetMode="External"/><Relationship Id="rId24" Type="http://schemas.openxmlformats.org/officeDocument/2006/relationships/hyperlink" Target="https://www.in.gov.br/web/dou/-/portaria-sctie/ms-n-64-de-27-de-outubro-de-2026-741113197" TargetMode="External"/><Relationship Id="rId40" Type="http://schemas.openxmlformats.org/officeDocument/2006/relationships/hyperlink" Target="https://www.in.gov.br/web/dou/-/portaria-conjunta-saes/sctie-n-98-de-20-de-outubro-de-2026-740650134" TargetMode="External"/><Relationship Id="rId45" Type="http://schemas.openxmlformats.org/officeDocument/2006/relationships/hyperlink" Target="https://www.in.gov.br/web/dou/-/portaria-conjunta-saes/sctie-n-103-de-20-de-outubro-de-2026-740647536" TargetMode="External"/><Relationship Id="rId66" Type="http://schemas.openxmlformats.org/officeDocument/2006/relationships/hyperlink" Target="https://www.in.gov.br/web/dou/-/consulta-publica-sctie/ms-n-103-de-2-de-outubro-de-2026-736562622" TargetMode="External"/><Relationship Id="rId87" Type="http://schemas.openxmlformats.org/officeDocument/2006/relationships/hyperlink" Target="https://www.gov.br/ans/pt-br/arquivos/assuntos/noticias/Pauta_Dicol_644ANS09.10.2026.pdf" TargetMode="External"/><Relationship Id="rId110" Type="http://schemas.openxmlformats.org/officeDocument/2006/relationships/theme" Target="theme/theme1.xml"/><Relationship Id="rId61" Type="http://schemas.openxmlformats.org/officeDocument/2006/relationships/hyperlink" Target="https://www.in.gov.br/web/dou/-/portaria-gm/ms-n-12.312-de-28-de-outubro-de-2026-741098845" TargetMode="External"/><Relationship Id="rId82" Type="http://schemas.openxmlformats.org/officeDocument/2006/relationships/hyperlink" Target="https://portal.trf6.jus.br/trf6-amplia-conciliacao-em-processos-relacionados-a-hanseniase/" TargetMode="External"/><Relationship Id="rId19" Type="http://schemas.openxmlformats.org/officeDocument/2006/relationships/hyperlink" Target="https://www.gov.br/saude/pt-br/composicao/sectics/daf/af-onco/legislacao" TargetMode="External"/><Relationship Id="rId14" Type="http://schemas.openxmlformats.org/officeDocument/2006/relationships/hyperlink" Target="https://portal.trf6.jus.br/trf6-garante-indenizacao-a-irmas-separadas-dos-pais-por-politica-de-isolamento-da-hanseniase/" TargetMode="External"/><Relationship Id="rId30" Type="http://schemas.openxmlformats.org/officeDocument/2006/relationships/hyperlink" Target="https://www.in.gov.br/web/dou/-/portaria-sctie/ms-n-66-de-27-de-outubro-de-2026-740656362" TargetMode="External"/><Relationship Id="rId35" Type="http://schemas.openxmlformats.org/officeDocument/2006/relationships/hyperlink" Target="https://www.in.gov.br/web/dou/-/portaria-conjunta-saes/sctie-n-93-de-20-de-outubro-de-2026-740647571" TargetMode="External"/><Relationship Id="rId56" Type="http://schemas.openxmlformats.org/officeDocument/2006/relationships/hyperlink" Target="https://www.in.gov.br/web/dou/-/portaria-gm/ms-n-12.307-de-28-de-outubro-de-2026-741175027" TargetMode="External"/><Relationship Id="rId77" Type="http://schemas.openxmlformats.org/officeDocument/2006/relationships/hyperlink" Target="https://www.gov.br/ans/pt-br/acesso-a-informacao/participacao-da-sociedade/audiencias-publicas/audiencia-publica-no-70" TargetMode="External"/><Relationship Id="rId100" Type="http://schemas.openxmlformats.org/officeDocument/2006/relationships/hyperlink" Target="https://www.in.gov.br/web/dou/-/resolucao-re-n-4.231-de-27-de-outubro-de-2026-740655877" TargetMode="External"/><Relationship Id="rId105" Type="http://schemas.openxmlformats.org/officeDocument/2006/relationships/hyperlink" Target="https://www.in.gov.br/web/dou/-/resolucao-da-diretoria-colegiada-anvisa-n-1.046-de-29-de-outubro-de-2026-741186261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www.in.gov.br/web/dou/-/portaria-conjunta-saes/sctie-n-80-de-15-de-setembro-de-2026-738330710" TargetMode="External"/><Relationship Id="rId72" Type="http://schemas.openxmlformats.org/officeDocument/2006/relationships/hyperlink" Target="https://www.gov.br/conitec/pt-br/midias/reuniao_conitec/2026/pauta-156a-posreuniao_pcdt_site.pdf/@@display-file/file" TargetMode="External"/><Relationship Id="rId93" Type="http://schemas.openxmlformats.org/officeDocument/2006/relationships/hyperlink" Target="https://www.in.gov.br/web/dou/-/resolucao-re-n-4.184-de-22-de-outubro-de-2026-740391591" TargetMode="External"/><Relationship Id="rId98" Type="http://schemas.openxmlformats.org/officeDocument/2006/relationships/hyperlink" Target="https://www.in.gov.br/web/dou/-/resolucao-re-n-4.105-de-15-de-outubro-de-2026-738856116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gov.br/conitec/pt-br/midias/relatorios/2026/relatorio-de-recomendacao-no-1134-ravulizumabe-crovalimabe-pegcetacoplana-e-iptacopana.pdf/@@display-file/file" TargetMode="External"/><Relationship Id="rId46" Type="http://schemas.openxmlformats.org/officeDocument/2006/relationships/hyperlink" Target="https://www.in.gov.br/web/dou/-/portaria-conjunta-saes/sctie-n-104-de-20-de-outubro-de-2026-740654139" TargetMode="External"/><Relationship Id="rId67" Type="http://schemas.openxmlformats.org/officeDocument/2006/relationships/hyperlink" Target="https://www.in.gov.br/web/dou/-/consulta-publica-sctie/ms-n-104-de-2-de-outubro-de-2026-736567888" TargetMode="External"/><Relationship Id="rId20" Type="http://schemas.openxmlformats.org/officeDocument/2006/relationships/hyperlink" Target="https://www.in.gov.br/web/dou/-/portaria-sctie/ms-n-64-de-27-de-outubro-de-2026-741113197" TargetMode="External"/><Relationship Id="rId41" Type="http://schemas.openxmlformats.org/officeDocument/2006/relationships/hyperlink" Target="https://www.in.gov.br/web/dou/-/portaria-conjunta-saes/sctie-n-99-de-20-de-outubro-de-2026-740662362" TargetMode="External"/><Relationship Id="rId62" Type="http://schemas.openxmlformats.org/officeDocument/2006/relationships/hyperlink" Target="https://www.in.gov.br/web/dou/-/portaria-gm/ms-n-12.313-de-28-de-outubro-de-2026-741170700" TargetMode="External"/><Relationship Id="rId83" Type="http://schemas.openxmlformats.org/officeDocument/2006/relationships/hyperlink" Target="https://web.trf3.jus.br/diario/Consulta/VisualizarDocumento?CodigoTipoPublicacao=1&amp;CodigoOrgao=1&amp;CodigoDocumento=0&amp;IdMateria=570526&amp;NumeroProcesso=0" TargetMode="External"/><Relationship Id="rId88" Type="http://schemas.openxmlformats.org/officeDocument/2006/relationships/hyperlink" Target="https://www.gov.br/ans/pt-br/assuntos/noticias/periodo-eleitoral/deliberacoes-da-644a-reuniao-da-diretoria-colegiad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Montserra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Montserra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9211</Words>
  <Characters>49743</Characters>
  <Application>Microsoft Office Word</Application>
  <DocSecurity>0</DocSecurity>
  <Lines>414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Radar Fonajus · Boletim Mensal de Direito da Saúde · Edição nº 1</dc:title>
  <dc:subject>Boletim Mensal de Direito da Saúde</dc:subject>
  <dc:creator>Comissão de Gestão das Ações de Direito da Saúde · TRF3</dc:creator>
  <cp:keywords>Radar Fonajus; Direito da Saúde; Justiça Federal da 3ª Região; Fonajus; CNJ</cp:keywords>
  <dc:description/>
  <cp:lastModifiedBy>ANITA VILLANI</cp:lastModifiedBy>
  <cp:revision>2</cp:revision>
  <dcterms:created xsi:type="dcterms:W3CDTF">2026-11-04T23:59:00Z</dcterms:created>
  <dcterms:modified xsi:type="dcterms:W3CDTF">2026-11-04T23:59:00Z</dcterms:modified>
  <cp:category>Boletim</cp:category>
  <dc:language>pt-BR</dc:language>
</cp:coreProperties>
</file>