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3348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82</w:t>
      </w: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/2024</w:t>
      </w:r>
    </w:p>
    <w:p w:rsidR="001A47DE" w:rsidRPr="001A47DE" w:rsidRDefault="001A47DE" w:rsidP="001A47D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O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ão, procederá à eliminação do 68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.º (sexagésimo 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oitavo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cumprida (arquivados no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ano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de 2005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 xml:space="preserve"> e 2006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), em atendimento às determinações contidas na Consolidação Normativa do Programa de Gestão Documental da Justiça Federal de 1º e 2º graus, estabelecida pela Resolução nº </w:t>
      </w:r>
      <w:r>
        <w:rPr>
          <w:rFonts w:ascii="Arial" w:eastAsia="Times New Roman" w:hAnsi="Arial" w:cs="Arial"/>
          <w:sz w:val="24"/>
          <w:szCs w:val="24"/>
          <w:lang w:eastAsia="pt-BR"/>
        </w:rPr>
        <w:t>886/2024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Federal, bem como na Portaria n° 1.513/2019, com as alterações trazidas pela Portaria nº 2.316/2021, da Presidência deste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II – As partes interessadas podem requerer à Divisão de Arquivo e Gestão Documental do Tribunal Regional Federal da Terceira Região, localizada na Av. Paulista, 1842, 5.° andar, quadrante 2, ramais 1161/1162, no prazo máximo de 45 dias da data de publicação deste Edital, os documentos que desejarem preservar.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a) Os requerimentos serão atendidos pela ordem de solicitação, cabendo ao primeiro requerente a via original que será entregue somente após decorrido o prazo de 45 dias da publicação deste Edital;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b) Aos demais interessados pelo mesmo documento, poderão ser fornecidas cópias do original, às expensas do solicitante, de acordo com a disponibilidade do Tribunal;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c) Fica disponibilizada a vista dos autos diretamente na Divisão de Arquivo e Gestão Documental, independentemente de requerimento;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 documentos solicitados ficarão à disposição para retirada a partir do 46º (quadragésimo sexto) dia e, caso não sejam retir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ados até o 10º (décimo) dia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serão eliminados em conformidade com o Edital.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e) Dos precatórios eliminados ou entregues aos interessados será mantido registro contendo informação acerca da sua destinação;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III – Os precatórios eliminados serão fragmentados e entregues à entidade sem fins lucrativos para reciclagem, nos termos do art. </w:t>
      </w:r>
      <w:r>
        <w:rPr>
          <w:rFonts w:ascii="Arial" w:eastAsia="Times New Roman" w:hAnsi="Arial" w:cs="Arial"/>
          <w:sz w:val="24"/>
          <w:szCs w:val="24"/>
          <w:lang w:eastAsia="pt-BR"/>
        </w:rPr>
        <w:t>31 da Resolução nº 886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pt-BR"/>
        </w:rPr>
        <w:t>29/04/2024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1A47DE" w:rsidRPr="001A47DE" w:rsidRDefault="001A47DE" w:rsidP="001A47DE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Desembargador Federal CARLOS MUTA</w:t>
      </w:r>
    </w:p>
    <w:p w:rsidR="001A47DE" w:rsidRPr="001A47DE" w:rsidRDefault="001A47DE" w:rsidP="001A47DE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1A47DE" w:rsidRPr="001A47DE" w:rsidRDefault="001A47DE" w:rsidP="001A47DE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334820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68</w:t>
      </w:r>
      <w:bookmarkStart w:id="0" w:name="_GoBack"/>
      <w:bookmarkEnd w:id="0"/>
      <w:r w:rsidR="001A47DE" w:rsidRPr="001A47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1A47DE" w:rsidRPr="001A47DE" w:rsidRDefault="001A47DE" w:rsidP="001A47DE">
      <w:pPr>
        <w:rPr>
          <w:rFonts w:eastAsia="Times New Roman" w:cs="Times New Roman"/>
        </w:rPr>
      </w:pPr>
    </w:p>
    <w:p w:rsidR="001D2DE0" w:rsidRDefault="001D2DE0"/>
    <w:sectPr w:rsidR="001D2DE0" w:rsidSect="00216B6B">
      <w:headerReference w:type="default" r:id="rId6"/>
      <w:footerReference w:type="default" r:id="rId7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26" w:rsidRDefault="00B23226">
      <w:pPr>
        <w:spacing w:after="0" w:line="240" w:lineRule="auto"/>
      </w:pPr>
      <w:r>
        <w:separator/>
      </w:r>
    </w:p>
  </w:endnote>
  <w:endnote w:type="continuationSeparator" w:id="0">
    <w:p w:rsidR="00B23226" w:rsidRDefault="00B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334820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334820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DE5BA9" w:rsidRDefault="001A47DE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26" w:rsidRDefault="00B23226">
      <w:pPr>
        <w:spacing w:after="0" w:line="240" w:lineRule="auto"/>
      </w:pPr>
      <w:r>
        <w:separator/>
      </w:r>
    </w:p>
  </w:footnote>
  <w:footnote w:type="continuationSeparator" w:id="0">
    <w:p w:rsidR="00B23226" w:rsidRDefault="00B2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DE5BA9" w:rsidRDefault="001A47DE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DE5BA9" w:rsidRDefault="001A47DE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DE5BA9" w:rsidRDefault="00B232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E"/>
    <w:rsid w:val="001A47DE"/>
    <w:rsid w:val="001D2DE0"/>
    <w:rsid w:val="00334820"/>
    <w:rsid w:val="00B23226"/>
    <w:rsid w:val="00C107A0"/>
    <w:rsid w:val="00D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ED0"/>
  <w15:chartTrackingRefBased/>
  <w15:docId w15:val="{C7CE566C-D5D2-4C91-8899-636AA17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1A47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1A47DE"/>
    <w:rPr>
      <w:rFonts w:ascii="Times New Roman" w:eastAsia="Times New Roman" w:hAnsi="Times New Roman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A47D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2024-10-28T17:02:00Z</dcterms:created>
  <dcterms:modified xsi:type="dcterms:W3CDTF">2024-10-28T17:02:00Z</dcterms:modified>
</cp:coreProperties>
</file>